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91" w:rsidRPr="00E01D5A" w:rsidRDefault="00867291" w:rsidP="00867291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FP-CA5</w:t>
      </w:r>
    </w:p>
    <w:p w:rsidR="00867291" w:rsidRPr="00E01D5A" w:rsidRDefault="00867291" w:rsidP="00867291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867291" w:rsidRPr="00E01D5A" w:rsidRDefault="00867291" w:rsidP="00867291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867291" w:rsidRPr="00E01D5A" w:rsidRDefault="00867291" w:rsidP="00867291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867291" w:rsidRPr="00E01D5A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867291" w:rsidRPr="00E01D5A" w:rsidRDefault="00867291" w:rsidP="00867291">
      <w:pPr>
        <w:widowControl w:val="0"/>
        <w:autoSpaceDE w:val="0"/>
        <w:autoSpaceDN w:val="0"/>
        <w:adjustRightInd w:val="0"/>
        <w:spacing w:before="10" w:after="10" w:line="240" w:lineRule="auto"/>
        <w:ind w:right="720"/>
        <w:rPr>
          <w:rFonts w:ascii="Times New Roman" w:hAnsi="Times New Roman"/>
          <w:b/>
          <w:sz w:val="18"/>
          <w:szCs w:val="18"/>
        </w:rPr>
      </w:pPr>
    </w:p>
    <w:p w:rsidR="00867291" w:rsidRPr="004C6B23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4C6B23">
        <w:rPr>
          <w:rFonts w:ascii="Times New Roman" w:hAnsi="Times New Roman"/>
          <w:b/>
          <w:sz w:val="24"/>
          <w:szCs w:val="24"/>
        </w:rPr>
        <w:t>Evaluation of the sequence-specific peptide-binding activity of AGR2 has</w:t>
      </w:r>
    </w:p>
    <w:p w:rsidR="00867291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6B23">
        <w:rPr>
          <w:rFonts w:ascii="Times New Roman" w:hAnsi="Times New Roman"/>
          <w:b/>
          <w:sz w:val="24"/>
          <w:szCs w:val="24"/>
        </w:rPr>
        <w:t>identified</w:t>
      </w:r>
      <w:proofErr w:type="gramEnd"/>
      <w:r w:rsidRPr="004C6B23">
        <w:rPr>
          <w:rFonts w:ascii="Times New Roman" w:hAnsi="Times New Roman"/>
          <w:b/>
          <w:sz w:val="24"/>
          <w:szCs w:val="24"/>
        </w:rPr>
        <w:t xml:space="preserve"> specific interaction sites on the </w:t>
      </w:r>
      <w:proofErr w:type="spellStart"/>
      <w:r w:rsidRPr="004C6B23">
        <w:rPr>
          <w:rFonts w:ascii="Times New Roman" w:hAnsi="Times New Roman"/>
          <w:b/>
          <w:sz w:val="24"/>
          <w:szCs w:val="24"/>
        </w:rPr>
        <w:t>oncogenic</w:t>
      </w:r>
      <w:proofErr w:type="spellEnd"/>
      <w:r w:rsidRPr="004C6B23">
        <w:rPr>
          <w:rFonts w:ascii="Times New Roman" w:hAnsi="Times New Roman"/>
          <w:b/>
          <w:sz w:val="24"/>
          <w:szCs w:val="24"/>
        </w:rPr>
        <w:t xml:space="preserve"> receptor </w:t>
      </w:r>
      <w:proofErr w:type="spellStart"/>
      <w:r w:rsidRPr="004C6B23">
        <w:rPr>
          <w:rFonts w:ascii="Times New Roman" w:hAnsi="Times New Roman"/>
          <w:b/>
          <w:sz w:val="24"/>
          <w:szCs w:val="24"/>
        </w:rPr>
        <w:t>EpCAM</w:t>
      </w:r>
      <w:proofErr w:type="spellEnd"/>
    </w:p>
    <w:p w:rsidR="00867291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867291" w:rsidRPr="004C6B23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4C6B23">
        <w:rPr>
          <w:rFonts w:ascii="Times New Roman" w:hAnsi="Times New Roman"/>
          <w:sz w:val="20"/>
          <w:szCs w:val="24"/>
          <w:vertAlign w:val="superscript"/>
        </w:rPr>
        <w:t>1,2</w:t>
      </w:r>
      <w:r w:rsidRPr="004C6B23">
        <w:rPr>
          <w:rFonts w:ascii="Times New Roman" w:hAnsi="Times New Roman"/>
          <w:sz w:val="20"/>
          <w:szCs w:val="24"/>
        </w:rPr>
        <w:t xml:space="preserve">M. </w:t>
      </w:r>
      <w:proofErr w:type="spellStart"/>
      <w:r w:rsidRPr="004C6B23">
        <w:rPr>
          <w:rFonts w:ascii="Times New Roman" w:hAnsi="Times New Roman"/>
          <w:sz w:val="20"/>
          <w:szCs w:val="24"/>
        </w:rPr>
        <w:t>Aiman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0"/>
          <w:szCs w:val="24"/>
        </w:rPr>
        <w:t>Mohtar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*, </w:t>
      </w:r>
      <w:r w:rsidRPr="004C6B23">
        <w:rPr>
          <w:rFonts w:ascii="Times New Roman" w:hAnsi="Times New Roman"/>
          <w:sz w:val="20"/>
          <w:szCs w:val="24"/>
          <w:vertAlign w:val="superscript"/>
        </w:rPr>
        <w:t>3</w:t>
      </w:r>
      <w:r w:rsidRPr="004C6B23">
        <w:rPr>
          <w:rFonts w:ascii="Times New Roman" w:hAnsi="Times New Roman"/>
          <w:sz w:val="20"/>
          <w:szCs w:val="24"/>
        </w:rPr>
        <w:t xml:space="preserve">Lenka </w:t>
      </w:r>
      <w:proofErr w:type="spellStart"/>
      <w:r w:rsidRPr="004C6B23">
        <w:rPr>
          <w:rFonts w:ascii="Times New Roman" w:hAnsi="Times New Roman"/>
          <w:sz w:val="20"/>
          <w:szCs w:val="24"/>
        </w:rPr>
        <w:t>Hernychova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, </w:t>
      </w:r>
      <w:r w:rsidRPr="004C6B23">
        <w:rPr>
          <w:rFonts w:ascii="Times New Roman" w:hAnsi="Times New Roman"/>
          <w:sz w:val="20"/>
          <w:szCs w:val="24"/>
          <w:vertAlign w:val="superscript"/>
        </w:rPr>
        <w:t>1</w:t>
      </w:r>
      <w:r w:rsidRPr="004C6B23">
        <w:rPr>
          <w:rFonts w:ascii="Times New Roman" w:hAnsi="Times New Roman"/>
          <w:sz w:val="20"/>
          <w:szCs w:val="24"/>
        </w:rPr>
        <w:t>J.</w:t>
      </w:r>
      <w:proofErr w:type="gramEnd"/>
      <w:r w:rsidRPr="004C6B23">
        <w:rPr>
          <w:rFonts w:ascii="Times New Roman" w:hAnsi="Times New Roman"/>
          <w:sz w:val="20"/>
          <w:szCs w:val="24"/>
        </w:rPr>
        <w:t xml:space="preserve"> Robert O’Neill, </w:t>
      </w:r>
      <w:r w:rsidRPr="004C6B23">
        <w:rPr>
          <w:rFonts w:ascii="Times New Roman" w:hAnsi="Times New Roman"/>
          <w:sz w:val="20"/>
          <w:szCs w:val="24"/>
          <w:vertAlign w:val="superscript"/>
        </w:rPr>
        <w:t>1,3</w:t>
      </w:r>
      <w:r w:rsidRPr="004C6B23">
        <w:rPr>
          <w:rFonts w:ascii="Times New Roman" w:hAnsi="Times New Roman"/>
          <w:sz w:val="20"/>
          <w:szCs w:val="24"/>
        </w:rPr>
        <w:t xml:space="preserve">Euan Murray, </w:t>
      </w:r>
      <w:r w:rsidRPr="004C6B23">
        <w:rPr>
          <w:rFonts w:ascii="Times New Roman" w:hAnsi="Times New Roman"/>
          <w:sz w:val="20"/>
          <w:szCs w:val="24"/>
          <w:vertAlign w:val="superscript"/>
        </w:rPr>
        <w:t>3</w:t>
      </w:r>
      <w:r w:rsidRPr="004C6B23">
        <w:rPr>
          <w:rFonts w:ascii="Times New Roman" w:hAnsi="Times New Roman"/>
          <w:sz w:val="20"/>
          <w:szCs w:val="24"/>
        </w:rPr>
        <w:t>Borek</w:t>
      </w:r>
    </w:p>
    <w:p w:rsidR="00867291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spellStart"/>
      <w:proofErr w:type="gramStart"/>
      <w:r w:rsidRPr="004C6B23">
        <w:rPr>
          <w:rFonts w:ascii="Times New Roman" w:hAnsi="Times New Roman"/>
          <w:sz w:val="20"/>
          <w:szCs w:val="24"/>
        </w:rPr>
        <w:t>Vojtesek</w:t>
      </w:r>
      <w:proofErr w:type="spellEnd"/>
      <w:r w:rsidRPr="004C6B23">
        <w:rPr>
          <w:rFonts w:ascii="Times New Roman" w:hAnsi="Times New Roman"/>
          <w:sz w:val="20"/>
          <w:szCs w:val="24"/>
        </w:rPr>
        <w:t>,</w:t>
      </w:r>
      <w:proofErr w:type="gramEnd"/>
      <w:r w:rsidRPr="004C6B23">
        <w:rPr>
          <w:rFonts w:ascii="Times New Roman" w:hAnsi="Times New Roman"/>
          <w:sz w:val="20"/>
          <w:szCs w:val="24"/>
        </w:rPr>
        <w:t xml:space="preserve"> and </w:t>
      </w:r>
      <w:r w:rsidRPr="004C6B23">
        <w:rPr>
          <w:rFonts w:ascii="Times New Roman" w:hAnsi="Times New Roman"/>
          <w:sz w:val="20"/>
          <w:szCs w:val="24"/>
          <w:vertAlign w:val="superscript"/>
        </w:rPr>
        <w:t>1,3</w:t>
      </w:r>
      <w:r w:rsidRPr="004C6B23">
        <w:rPr>
          <w:rFonts w:ascii="Times New Roman" w:hAnsi="Times New Roman"/>
          <w:sz w:val="20"/>
          <w:szCs w:val="24"/>
        </w:rPr>
        <w:t xml:space="preserve">Ted R. </w:t>
      </w:r>
      <w:proofErr w:type="spellStart"/>
      <w:r w:rsidRPr="004C6B23">
        <w:rPr>
          <w:rFonts w:ascii="Times New Roman" w:hAnsi="Times New Roman"/>
          <w:sz w:val="20"/>
          <w:szCs w:val="24"/>
        </w:rPr>
        <w:t>Hupp</w:t>
      </w:r>
      <w:proofErr w:type="spellEnd"/>
    </w:p>
    <w:p w:rsidR="00867291" w:rsidRPr="004C6B23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</w:rPr>
      </w:pPr>
    </w:p>
    <w:p w:rsidR="00867291" w:rsidRPr="00E01D5A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r w:rsidRPr="004C6B23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4C6B23">
        <w:rPr>
          <w:rFonts w:ascii="Times New Roman" w:hAnsi="Times New Roman"/>
          <w:i/>
          <w:sz w:val="16"/>
          <w:szCs w:val="16"/>
        </w:rPr>
        <w:t>University of Edinburgh, Institute of Genetics and</w:t>
      </w:r>
      <w:r>
        <w:rPr>
          <w:rFonts w:ascii="Times New Roman" w:hAnsi="Times New Roman"/>
          <w:i/>
          <w:sz w:val="16"/>
          <w:szCs w:val="16"/>
        </w:rPr>
        <w:t xml:space="preserve"> Molecular Medicine, Edinburgh, </w:t>
      </w:r>
      <w:r w:rsidRPr="004C6B23">
        <w:rPr>
          <w:rFonts w:ascii="Times New Roman" w:hAnsi="Times New Roman"/>
          <w:i/>
          <w:sz w:val="16"/>
          <w:szCs w:val="16"/>
        </w:rPr>
        <w:t>Scot</w:t>
      </w:r>
      <w:r>
        <w:rPr>
          <w:rFonts w:ascii="Times New Roman" w:hAnsi="Times New Roman"/>
          <w:i/>
          <w:sz w:val="16"/>
          <w:szCs w:val="16"/>
        </w:rPr>
        <w:t xml:space="preserve">land, United Kingdom; </w:t>
      </w:r>
      <w:r w:rsidRPr="004C6B23">
        <w:rPr>
          <w:rFonts w:ascii="Times New Roman" w:hAnsi="Times New Roman"/>
          <w:i/>
          <w:sz w:val="16"/>
          <w:szCs w:val="16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National </w:t>
      </w:r>
      <w:r w:rsidRPr="004C6B23">
        <w:rPr>
          <w:rFonts w:ascii="Times New Roman" w:hAnsi="Times New Roman"/>
          <w:i/>
          <w:sz w:val="16"/>
          <w:szCs w:val="16"/>
        </w:rPr>
        <w:t>University of Malaysia,</w:t>
      </w:r>
      <w:r>
        <w:rPr>
          <w:rFonts w:ascii="Times New Roman" w:hAnsi="Times New Roman"/>
          <w:i/>
          <w:sz w:val="16"/>
          <w:szCs w:val="16"/>
        </w:rPr>
        <w:t xml:space="preserve"> UKM Medical Molecular </w:t>
      </w:r>
      <w:r w:rsidRPr="004C6B23">
        <w:rPr>
          <w:rFonts w:ascii="Times New Roman" w:hAnsi="Times New Roman"/>
          <w:i/>
          <w:sz w:val="16"/>
          <w:szCs w:val="16"/>
        </w:rPr>
        <w:t>Biology Institute (UMBI), Kuala Lumpur, Malaysi</w:t>
      </w:r>
      <w:r>
        <w:rPr>
          <w:rFonts w:ascii="Times New Roman" w:hAnsi="Times New Roman"/>
          <w:i/>
          <w:sz w:val="16"/>
          <w:szCs w:val="16"/>
        </w:rPr>
        <w:t xml:space="preserve">a; </w:t>
      </w:r>
      <w:r w:rsidRPr="004C6B23">
        <w:rPr>
          <w:rFonts w:ascii="Times New Roman" w:hAnsi="Times New Roman"/>
          <w:i/>
          <w:sz w:val="16"/>
          <w:szCs w:val="16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Regional Centre for Applied </w:t>
      </w:r>
      <w:r w:rsidRPr="004C6B23">
        <w:rPr>
          <w:rFonts w:ascii="Times New Roman" w:hAnsi="Times New Roman"/>
          <w:i/>
          <w:sz w:val="16"/>
          <w:szCs w:val="16"/>
        </w:rPr>
        <w:t>Molecular Oncology, Masaryk Memorial Cancer Institute, Brno, Czech Republic</w:t>
      </w:r>
    </w:p>
    <w:p w:rsidR="00867291" w:rsidRPr="004C6B23" w:rsidRDefault="00867291" w:rsidP="00867291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867291" w:rsidRDefault="00867291" w:rsidP="00867291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867291" w:rsidRDefault="00867291" w:rsidP="00867291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5F50B0" w:rsidRPr="00867291" w:rsidRDefault="00867291" w:rsidP="00867291">
      <w:r w:rsidRPr="004C6B23">
        <w:rPr>
          <w:rFonts w:ascii="Times New Roman" w:hAnsi="Times New Roman"/>
          <w:sz w:val="24"/>
          <w:szCs w:val="24"/>
        </w:rPr>
        <w:t xml:space="preserve">Anterior gradient-2 (AGR2) is an </w:t>
      </w:r>
      <w:proofErr w:type="spellStart"/>
      <w:r w:rsidRPr="004C6B23">
        <w:rPr>
          <w:rFonts w:ascii="Times New Roman" w:hAnsi="Times New Roman"/>
          <w:sz w:val="24"/>
          <w:szCs w:val="24"/>
        </w:rPr>
        <w:t>oncogenic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endoplasmic reticulum (ER)-resident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B23">
        <w:rPr>
          <w:rFonts w:ascii="Times New Roman" w:hAnsi="Times New Roman"/>
          <w:sz w:val="24"/>
          <w:szCs w:val="24"/>
        </w:rPr>
        <w:t xml:space="preserve">protein disulfide </w:t>
      </w:r>
      <w:proofErr w:type="spellStart"/>
      <w:r w:rsidRPr="004C6B23">
        <w:rPr>
          <w:rFonts w:ascii="Times New Roman" w:hAnsi="Times New Roman"/>
          <w:sz w:val="24"/>
          <w:szCs w:val="24"/>
        </w:rPr>
        <w:t>isomerase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. AGR2 is </w:t>
      </w:r>
      <w:proofErr w:type="spellStart"/>
      <w:r w:rsidRPr="004C6B23">
        <w:rPr>
          <w:rFonts w:ascii="Times New Roman" w:hAnsi="Times New Roman"/>
          <w:sz w:val="24"/>
          <w:szCs w:val="24"/>
        </w:rPr>
        <w:t>overexpress</w:t>
      </w:r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in diverse human cancers and </w:t>
      </w:r>
      <w:r w:rsidRPr="004C6B23">
        <w:rPr>
          <w:rFonts w:ascii="Times New Roman" w:hAnsi="Times New Roman"/>
          <w:sz w:val="24"/>
          <w:szCs w:val="24"/>
        </w:rPr>
        <w:t>exhibited a pro-metastatic protein essential to cancer p</w:t>
      </w:r>
      <w:r>
        <w:rPr>
          <w:rFonts w:ascii="Times New Roman" w:hAnsi="Times New Roman"/>
          <w:sz w:val="24"/>
          <w:szCs w:val="24"/>
        </w:rPr>
        <w:t xml:space="preserve">rogression, drug resistance and </w:t>
      </w:r>
      <w:r w:rsidRPr="004C6B23">
        <w:rPr>
          <w:rFonts w:ascii="Times New Roman" w:hAnsi="Times New Roman"/>
          <w:sz w:val="24"/>
          <w:szCs w:val="24"/>
        </w:rPr>
        <w:t xml:space="preserve">metastatic development. The exact mechanism of </w:t>
      </w:r>
      <w:r>
        <w:rPr>
          <w:rFonts w:ascii="Times New Roman" w:hAnsi="Times New Roman"/>
          <w:sz w:val="24"/>
          <w:szCs w:val="24"/>
        </w:rPr>
        <w:t xml:space="preserve">how AGR2 involves in cancer and </w:t>
      </w:r>
      <w:r w:rsidRPr="004C6B23">
        <w:rPr>
          <w:rFonts w:ascii="Times New Roman" w:hAnsi="Times New Roman"/>
          <w:sz w:val="24"/>
          <w:szCs w:val="24"/>
        </w:rPr>
        <w:t>how it is regulated is poorly understood. In th</w:t>
      </w:r>
      <w:r>
        <w:rPr>
          <w:rFonts w:ascii="Times New Roman" w:hAnsi="Times New Roman"/>
          <w:sz w:val="24"/>
          <w:szCs w:val="24"/>
        </w:rPr>
        <w:t xml:space="preserve">is study, we aim to expand AGR2 </w:t>
      </w:r>
      <w:proofErr w:type="spellStart"/>
      <w:r w:rsidRPr="004C6B23">
        <w:rPr>
          <w:rFonts w:ascii="Times New Roman" w:hAnsi="Times New Roman"/>
          <w:sz w:val="24"/>
          <w:szCs w:val="24"/>
        </w:rPr>
        <w:t>interactome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to further unravel its functions. AGR2 </w:t>
      </w:r>
      <w:r>
        <w:rPr>
          <w:rFonts w:ascii="Times New Roman" w:hAnsi="Times New Roman"/>
          <w:sz w:val="24"/>
          <w:szCs w:val="24"/>
        </w:rPr>
        <w:t xml:space="preserve">protein has a relatively unique </w:t>
      </w:r>
      <w:r w:rsidRPr="004C6B23">
        <w:rPr>
          <w:rFonts w:ascii="Times New Roman" w:hAnsi="Times New Roman"/>
          <w:sz w:val="24"/>
          <w:szCs w:val="24"/>
        </w:rPr>
        <w:t xml:space="preserve">property for a chaperone in which it can bind to a </w:t>
      </w:r>
      <w:r>
        <w:rPr>
          <w:rFonts w:ascii="Times New Roman" w:hAnsi="Times New Roman"/>
          <w:sz w:val="24"/>
          <w:szCs w:val="24"/>
        </w:rPr>
        <w:t xml:space="preserve">sequence-specific peptide motif </w:t>
      </w:r>
      <w:r w:rsidRPr="004C6B23">
        <w:rPr>
          <w:rFonts w:ascii="Times New Roman" w:hAnsi="Times New Roman"/>
          <w:sz w:val="24"/>
          <w:szCs w:val="24"/>
        </w:rPr>
        <w:t>(TTIYY). Here, we report that the synthetic TTIY</w:t>
      </w:r>
      <w:r>
        <w:rPr>
          <w:rFonts w:ascii="Times New Roman" w:hAnsi="Times New Roman"/>
          <w:sz w:val="24"/>
          <w:szCs w:val="24"/>
        </w:rPr>
        <w:t xml:space="preserve">Y-containing peptide column can </w:t>
      </w:r>
      <w:r w:rsidRPr="004C6B23">
        <w:rPr>
          <w:rFonts w:ascii="Times New Roman" w:hAnsi="Times New Roman"/>
          <w:sz w:val="24"/>
          <w:szCs w:val="24"/>
        </w:rPr>
        <w:t xml:space="preserve">affinity-purify AGR2 from crude </w:t>
      </w:r>
      <w:proofErr w:type="spellStart"/>
      <w:r w:rsidRPr="004C6B23">
        <w:rPr>
          <w:rFonts w:ascii="Times New Roman" w:hAnsi="Times New Roman"/>
          <w:sz w:val="24"/>
          <w:szCs w:val="24"/>
        </w:rPr>
        <w:t>lysates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highlighting</w:t>
      </w:r>
      <w:r>
        <w:rPr>
          <w:rFonts w:ascii="Times New Roman" w:hAnsi="Times New Roman"/>
          <w:sz w:val="24"/>
          <w:szCs w:val="24"/>
        </w:rPr>
        <w:t xml:space="preserve"> peptide selectivity in complex </w:t>
      </w:r>
      <w:r w:rsidRPr="004C6B23">
        <w:rPr>
          <w:rFonts w:ascii="Times New Roman" w:hAnsi="Times New Roman"/>
          <w:sz w:val="24"/>
          <w:szCs w:val="24"/>
        </w:rPr>
        <w:t>mixtures and this can selectively drive some of its protein</w:t>
      </w:r>
      <w:r>
        <w:rPr>
          <w:rFonts w:ascii="Times New Roman" w:hAnsi="Times New Roman"/>
          <w:sz w:val="24"/>
          <w:szCs w:val="24"/>
        </w:rPr>
        <w:t xml:space="preserve">-protein interaction functions. </w:t>
      </w:r>
      <w:r w:rsidRPr="004C6B23">
        <w:rPr>
          <w:rFonts w:ascii="Times New Roman" w:hAnsi="Times New Roman"/>
          <w:sz w:val="24"/>
          <w:szCs w:val="24"/>
        </w:rPr>
        <w:t xml:space="preserve">Hydrogen-deuterium exchange mass spectrometry </w:t>
      </w:r>
      <w:r>
        <w:rPr>
          <w:rFonts w:ascii="Times New Roman" w:hAnsi="Times New Roman"/>
          <w:sz w:val="24"/>
          <w:szCs w:val="24"/>
        </w:rPr>
        <w:t xml:space="preserve">(HDX-MS) localized the dominant </w:t>
      </w:r>
      <w:r w:rsidRPr="004C6B23">
        <w:rPr>
          <w:rFonts w:ascii="Times New Roman" w:hAnsi="Times New Roman"/>
          <w:sz w:val="24"/>
          <w:szCs w:val="24"/>
        </w:rPr>
        <w:t>region in AGR2 that interacts with the TTIYY peptide t</w:t>
      </w:r>
      <w:r>
        <w:rPr>
          <w:rFonts w:ascii="Times New Roman" w:hAnsi="Times New Roman"/>
          <w:sz w:val="24"/>
          <w:szCs w:val="24"/>
        </w:rPr>
        <w:t xml:space="preserve">o within a structural loop from </w:t>
      </w:r>
      <w:r w:rsidRPr="004C6B23">
        <w:rPr>
          <w:rFonts w:ascii="Times New Roman" w:hAnsi="Times New Roman"/>
          <w:sz w:val="24"/>
          <w:szCs w:val="24"/>
        </w:rPr>
        <w:t xml:space="preserve">amino acids 131-135 (VDPSL). A peptide binding site </w:t>
      </w:r>
      <w:r>
        <w:rPr>
          <w:rFonts w:ascii="Times New Roman" w:hAnsi="Times New Roman"/>
          <w:sz w:val="24"/>
          <w:szCs w:val="24"/>
        </w:rPr>
        <w:t xml:space="preserve">consensus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Tx</w:t>
      </w:r>
      <w:proofErr w:type="spellEnd"/>
      <w:r>
        <w:rPr>
          <w:rFonts w:ascii="Times New Roman" w:hAnsi="Times New Roman"/>
          <w:sz w:val="24"/>
          <w:szCs w:val="24"/>
        </w:rPr>
        <w:t>[</w:t>
      </w:r>
      <w:proofErr w:type="gramEnd"/>
      <w:r>
        <w:rPr>
          <w:rFonts w:ascii="Times New Roman" w:hAnsi="Times New Roman"/>
          <w:sz w:val="24"/>
          <w:szCs w:val="24"/>
        </w:rPr>
        <w:t xml:space="preserve">IL][YF][YF] was </w:t>
      </w:r>
      <w:r w:rsidRPr="004C6B23">
        <w:rPr>
          <w:rFonts w:ascii="Times New Roman" w:hAnsi="Times New Roman"/>
          <w:sz w:val="24"/>
          <w:szCs w:val="24"/>
        </w:rPr>
        <w:t>developed for AGR2 by measuring its activity</w:t>
      </w:r>
      <w:r>
        <w:rPr>
          <w:rFonts w:ascii="Times New Roman" w:hAnsi="Times New Roman"/>
          <w:sz w:val="24"/>
          <w:szCs w:val="24"/>
        </w:rPr>
        <w:t xml:space="preserve"> against an </w:t>
      </w:r>
      <w:proofErr w:type="spellStart"/>
      <w:r>
        <w:rPr>
          <w:rFonts w:ascii="Times New Roman" w:hAnsi="Times New Roman"/>
          <w:sz w:val="24"/>
          <w:szCs w:val="24"/>
        </w:rPr>
        <w:t>alanine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mutagenized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6B23">
        <w:rPr>
          <w:rFonts w:ascii="Times New Roman" w:hAnsi="Times New Roman"/>
          <w:sz w:val="24"/>
          <w:szCs w:val="24"/>
        </w:rPr>
        <w:t>synthetic peptide library. Screening the human prote</w:t>
      </w:r>
      <w:r>
        <w:rPr>
          <w:rFonts w:ascii="Times New Roman" w:hAnsi="Times New Roman"/>
          <w:sz w:val="24"/>
          <w:szCs w:val="24"/>
        </w:rPr>
        <w:t xml:space="preserve">ome for proteins harboring this </w:t>
      </w:r>
      <w:r w:rsidRPr="004C6B23">
        <w:rPr>
          <w:rFonts w:ascii="Times New Roman" w:hAnsi="Times New Roman"/>
          <w:sz w:val="24"/>
          <w:szCs w:val="24"/>
        </w:rPr>
        <w:t xml:space="preserve">consensus motif revealed </w:t>
      </w:r>
      <w:proofErr w:type="gramStart"/>
      <w:r w:rsidRPr="004C6B23">
        <w:rPr>
          <w:rFonts w:ascii="Times New Roman" w:hAnsi="Times New Roman"/>
          <w:sz w:val="24"/>
          <w:szCs w:val="24"/>
        </w:rPr>
        <w:t>an enrichment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C6B23">
        <w:rPr>
          <w:rFonts w:ascii="Times New Roman" w:hAnsi="Times New Roman"/>
          <w:sz w:val="24"/>
          <w:szCs w:val="24"/>
        </w:rPr>
        <w:t>transm</w:t>
      </w:r>
      <w:r>
        <w:rPr>
          <w:rFonts w:ascii="Times New Roman" w:hAnsi="Times New Roman"/>
          <w:sz w:val="24"/>
          <w:szCs w:val="24"/>
        </w:rPr>
        <w:t>embrane</w:t>
      </w:r>
      <w:proofErr w:type="spellEnd"/>
      <w:r>
        <w:rPr>
          <w:rFonts w:ascii="Times New Roman" w:hAnsi="Times New Roman"/>
          <w:sz w:val="24"/>
          <w:szCs w:val="24"/>
        </w:rPr>
        <w:t xml:space="preserve"> proteins and we focused </w:t>
      </w:r>
      <w:r w:rsidRPr="004C6B23">
        <w:rPr>
          <w:rFonts w:ascii="Times New Roman" w:hAnsi="Times New Roman"/>
          <w:sz w:val="24"/>
          <w:szCs w:val="24"/>
        </w:rPr>
        <w:t xml:space="preserve">on validating </w:t>
      </w:r>
      <w:proofErr w:type="spellStart"/>
      <w:r w:rsidRPr="004C6B23">
        <w:rPr>
          <w:rFonts w:ascii="Times New Roman" w:hAnsi="Times New Roman"/>
          <w:sz w:val="24"/>
          <w:szCs w:val="24"/>
        </w:rPr>
        <w:t>EpCAM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as one such </w:t>
      </w:r>
      <w:proofErr w:type="spellStart"/>
      <w:r w:rsidRPr="004C6B23">
        <w:rPr>
          <w:rFonts w:ascii="Times New Roman" w:hAnsi="Times New Roman"/>
          <w:sz w:val="24"/>
          <w:szCs w:val="24"/>
        </w:rPr>
        <w:t>oncogeni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protein. Recombinant AGR2 and </w:t>
      </w:r>
      <w:proofErr w:type="spellStart"/>
      <w:r w:rsidRPr="004C6B23">
        <w:rPr>
          <w:rFonts w:ascii="Times New Roman" w:hAnsi="Times New Roman"/>
          <w:sz w:val="24"/>
          <w:szCs w:val="24"/>
        </w:rPr>
        <w:t>EpCAM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proteins formed a dose-dependent protei</w:t>
      </w:r>
      <w:r>
        <w:rPr>
          <w:rFonts w:ascii="Times New Roman" w:hAnsi="Times New Roman"/>
          <w:sz w:val="24"/>
          <w:szCs w:val="24"/>
        </w:rPr>
        <w:t xml:space="preserve">n-protein interaction in-vitro. </w:t>
      </w:r>
      <w:r w:rsidRPr="004C6B23">
        <w:rPr>
          <w:rFonts w:ascii="Times New Roman" w:hAnsi="Times New Roman"/>
          <w:sz w:val="24"/>
          <w:szCs w:val="24"/>
        </w:rPr>
        <w:t>Proximity ligation assays demonstrated that en</w:t>
      </w:r>
      <w:r>
        <w:rPr>
          <w:rFonts w:ascii="Times New Roman" w:hAnsi="Times New Roman"/>
          <w:sz w:val="24"/>
          <w:szCs w:val="24"/>
        </w:rPr>
        <w:t xml:space="preserve">dogenous AGR2 and </w:t>
      </w:r>
      <w:proofErr w:type="spellStart"/>
      <w:r>
        <w:rPr>
          <w:rFonts w:ascii="Times New Roman" w:hAnsi="Times New Roman"/>
          <w:sz w:val="24"/>
          <w:szCs w:val="24"/>
        </w:rPr>
        <w:t>EpCAM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r w:rsidRPr="004C6B23">
        <w:rPr>
          <w:rFonts w:ascii="Times New Roman" w:hAnsi="Times New Roman"/>
          <w:sz w:val="24"/>
          <w:szCs w:val="24"/>
        </w:rPr>
        <w:t xml:space="preserve">associate in cells. Introducing a single </w:t>
      </w:r>
      <w:proofErr w:type="spellStart"/>
      <w:r w:rsidRPr="004C6B23">
        <w:rPr>
          <w:rFonts w:ascii="Times New Roman" w:hAnsi="Times New Roman"/>
          <w:sz w:val="24"/>
          <w:szCs w:val="24"/>
        </w:rPr>
        <w:t>alanine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mutation in </w:t>
      </w:r>
      <w:proofErr w:type="spellStart"/>
      <w:r w:rsidRPr="004C6B23">
        <w:rPr>
          <w:rFonts w:ascii="Times New Roman" w:hAnsi="Times New Roman"/>
          <w:sz w:val="24"/>
          <w:szCs w:val="24"/>
        </w:rPr>
        <w:t>EpCA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at position Tyr251 </w:t>
      </w:r>
      <w:r w:rsidRPr="004C6B23">
        <w:rPr>
          <w:rFonts w:ascii="Times New Roman" w:hAnsi="Times New Roman"/>
          <w:sz w:val="24"/>
          <w:szCs w:val="24"/>
        </w:rPr>
        <w:t>attenuated its binding to AGR2 in-vitro and in cells</w:t>
      </w:r>
      <w:r>
        <w:rPr>
          <w:rFonts w:ascii="Times New Roman" w:hAnsi="Times New Roman"/>
          <w:sz w:val="24"/>
          <w:szCs w:val="24"/>
        </w:rPr>
        <w:t xml:space="preserve">. HDX-MS was used to identify a </w:t>
      </w:r>
      <w:r w:rsidRPr="004C6B23">
        <w:rPr>
          <w:rFonts w:ascii="Times New Roman" w:hAnsi="Times New Roman"/>
          <w:sz w:val="24"/>
          <w:szCs w:val="24"/>
        </w:rPr>
        <w:t xml:space="preserve">stable binding site for AGR2 on </w:t>
      </w:r>
      <w:proofErr w:type="spellStart"/>
      <w:r w:rsidRPr="004C6B23">
        <w:rPr>
          <w:rFonts w:ascii="Times New Roman" w:hAnsi="Times New Roman"/>
          <w:sz w:val="24"/>
          <w:szCs w:val="24"/>
        </w:rPr>
        <w:t>EpCAM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, adjacent to </w:t>
      </w:r>
      <w:r>
        <w:rPr>
          <w:rFonts w:ascii="Times New Roman" w:hAnsi="Times New Roman"/>
          <w:sz w:val="24"/>
          <w:szCs w:val="24"/>
        </w:rPr>
        <w:t xml:space="preserve">its TLIYY motif and surrounding </w:t>
      </w:r>
      <w:proofErr w:type="spellStart"/>
      <w:r w:rsidRPr="004C6B23">
        <w:rPr>
          <w:rFonts w:ascii="Times New Roman" w:hAnsi="Times New Roman"/>
          <w:sz w:val="24"/>
          <w:szCs w:val="24"/>
        </w:rPr>
        <w:t>EpCAM’s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detergent binding site. Additionally, </w:t>
      </w:r>
      <w:proofErr w:type="spellStart"/>
      <w:r w:rsidRPr="004C6B23">
        <w:rPr>
          <w:rFonts w:ascii="Times New Roman" w:hAnsi="Times New Roman"/>
          <w:sz w:val="24"/>
          <w:szCs w:val="24"/>
        </w:rPr>
        <w:t>immunohistochemistry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n tissue </w:t>
      </w:r>
      <w:proofErr w:type="spellStart"/>
      <w:r w:rsidRPr="004C6B23">
        <w:rPr>
          <w:rFonts w:ascii="Times New Roman" w:hAnsi="Times New Roman"/>
          <w:sz w:val="24"/>
          <w:szCs w:val="24"/>
        </w:rPr>
        <w:t>microroarrays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(TMA) containing 91 cores of </w:t>
      </w:r>
      <w:proofErr w:type="spellStart"/>
      <w:r w:rsidRPr="004C6B23">
        <w:rPr>
          <w:rFonts w:ascii="Times New Roman" w:hAnsi="Times New Roman"/>
          <w:sz w:val="24"/>
          <w:szCs w:val="24"/>
        </w:rPr>
        <w:t>oes</w:t>
      </w:r>
      <w:r>
        <w:rPr>
          <w:rFonts w:ascii="Times New Roman" w:hAnsi="Times New Roman"/>
          <w:sz w:val="24"/>
          <w:szCs w:val="24"/>
        </w:rPr>
        <w:t>ophageal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adenocarcinoma</w:t>
      </w:r>
      <w:proofErr w:type="spellEnd"/>
      <w:r>
        <w:rPr>
          <w:rFonts w:ascii="Times New Roman" w:hAnsi="Times New Roman"/>
          <w:sz w:val="24"/>
          <w:szCs w:val="24"/>
        </w:rPr>
        <w:t xml:space="preserve"> tissues </w:t>
      </w:r>
      <w:r w:rsidRPr="004C6B23">
        <w:rPr>
          <w:rFonts w:ascii="Times New Roman" w:hAnsi="Times New Roman"/>
          <w:sz w:val="24"/>
          <w:szCs w:val="24"/>
        </w:rPr>
        <w:t>showed that AGR2 and EPCAM were highly express</w:t>
      </w:r>
      <w:r>
        <w:rPr>
          <w:rFonts w:ascii="Times New Roman" w:hAnsi="Times New Roman"/>
          <w:sz w:val="24"/>
          <w:szCs w:val="24"/>
        </w:rPr>
        <w:t xml:space="preserve">ed. Together, our data define a </w:t>
      </w:r>
      <w:r w:rsidRPr="004C6B23">
        <w:rPr>
          <w:rFonts w:ascii="Times New Roman" w:hAnsi="Times New Roman"/>
          <w:sz w:val="24"/>
          <w:szCs w:val="24"/>
        </w:rPr>
        <w:t>dominant peptide-binding site on AGR2 that mediat</w:t>
      </w:r>
      <w:r>
        <w:rPr>
          <w:rFonts w:ascii="Times New Roman" w:hAnsi="Times New Roman"/>
          <w:sz w:val="24"/>
          <w:szCs w:val="24"/>
        </w:rPr>
        <w:t xml:space="preserve">es its specific peptide-binding </w:t>
      </w:r>
      <w:r w:rsidRPr="004C6B23">
        <w:rPr>
          <w:rFonts w:ascii="Times New Roman" w:hAnsi="Times New Roman"/>
          <w:sz w:val="24"/>
          <w:szCs w:val="24"/>
        </w:rPr>
        <w:t xml:space="preserve">function. Our findings may also provide physiological </w:t>
      </w:r>
      <w:r>
        <w:rPr>
          <w:rFonts w:ascii="Times New Roman" w:hAnsi="Times New Roman"/>
          <w:sz w:val="24"/>
          <w:szCs w:val="24"/>
        </w:rPr>
        <w:t xml:space="preserve">and clinical context to further </w:t>
      </w:r>
      <w:r w:rsidRPr="004C6B23">
        <w:rPr>
          <w:rFonts w:ascii="Times New Roman" w:hAnsi="Times New Roman"/>
          <w:sz w:val="24"/>
          <w:szCs w:val="24"/>
        </w:rPr>
        <w:t>dissect the AGR2-EpCAM pathway control i</w:t>
      </w:r>
      <w:r>
        <w:rPr>
          <w:rFonts w:ascii="Times New Roman" w:hAnsi="Times New Roman"/>
          <w:sz w:val="24"/>
          <w:szCs w:val="24"/>
        </w:rPr>
        <w:t xml:space="preserve">n relation to carcinogenesis in </w:t>
      </w:r>
      <w:proofErr w:type="spellStart"/>
      <w:r w:rsidRPr="004C6B23">
        <w:rPr>
          <w:rFonts w:ascii="Times New Roman" w:hAnsi="Times New Roman"/>
          <w:sz w:val="24"/>
          <w:szCs w:val="24"/>
        </w:rPr>
        <w:t>oesophageal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4"/>
          <w:szCs w:val="24"/>
        </w:rPr>
        <w:t>adenocarcinomas</w:t>
      </w:r>
      <w:proofErr w:type="spellEnd"/>
      <w:r w:rsidRPr="004C6B23">
        <w:rPr>
          <w:rFonts w:ascii="Times New Roman" w:hAnsi="Times New Roman"/>
          <w:sz w:val="24"/>
          <w:szCs w:val="24"/>
        </w:rPr>
        <w:t>.</w:t>
      </w:r>
    </w:p>
    <w:sectPr w:rsidR="005F50B0" w:rsidRPr="00867291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67BB4"/>
    <w:rsid w:val="00272285"/>
    <w:rsid w:val="00284F61"/>
    <w:rsid w:val="002B4529"/>
    <w:rsid w:val="0030792F"/>
    <w:rsid w:val="00377C06"/>
    <w:rsid w:val="003F11C2"/>
    <w:rsid w:val="005F50B0"/>
    <w:rsid w:val="00705D6A"/>
    <w:rsid w:val="00764AD8"/>
    <w:rsid w:val="0086554A"/>
    <w:rsid w:val="00867291"/>
    <w:rsid w:val="008D0F2B"/>
    <w:rsid w:val="00982060"/>
    <w:rsid w:val="00A24E8D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2017-11-08T06:16:00Z</dcterms:created>
  <dcterms:modified xsi:type="dcterms:W3CDTF">2017-11-08T06:16:00Z</dcterms:modified>
</cp:coreProperties>
</file>