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Glycemic Index of Some Commonly Consumed Foods In Northern Nigeria </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Alhassan Ahmad Sidan</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Jamila Aminu</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Maryam Usman</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Bilkisu Abubakar Mayo</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Fatima Umar Maigari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p w:rsidR="00000000" w:rsidDel="00000000" w:rsidP="00000000" w:rsidRDefault="00000000" w:rsidRPr="00000000" w14:paraId="00000006">
      <w:pPr>
        <w:spacing w:line="276"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ind w:left="36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vertAlign w:val="superscript"/>
          <w:rtl w:val="0"/>
        </w:rPr>
        <w:t xml:space="preserve">1</w:t>
      </w:r>
      <w:r w:rsidDel="00000000" w:rsidR="00000000" w:rsidRPr="00000000">
        <w:rPr>
          <w:rFonts w:ascii="Times New Roman" w:cs="Times New Roman" w:eastAsia="Times New Roman" w:hAnsi="Times New Roman"/>
          <w:i w:val="1"/>
          <w:iCs w:val="1"/>
          <w:sz w:val="24"/>
          <w:szCs w:val="24"/>
          <w:rtl w:val="0"/>
        </w:rPr>
        <w:t xml:space="preserve">Department of Medical Biochemistry, College of Medical Sciences, Gombe State University Nigeria</w:t>
      </w:r>
    </w:p>
    <w:p w:rsidR="00000000" w:rsidDel="00000000" w:rsidP="00000000" w:rsidRDefault="00000000" w:rsidRPr="00000000" w14:paraId="00000008">
      <w:pPr>
        <w:spacing w:line="276"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ind w:left="36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*Correspondence: fatimamaigari@gsu.edu.ng </w:t>
      </w:r>
    </w:p>
    <w:p w:rsidR="00000000" w:rsidDel="00000000" w:rsidP="00000000" w:rsidRDefault="00000000" w:rsidRPr="00000000" w14:paraId="0000000A">
      <w:pPr>
        <w:spacing w:line="276" w:lineRule="auto"/>
        <w:ind w:left="3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ind w:left="3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C">
      <w:pPr>
        <w:spacing w:after="20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aimed at determining the glycemic index (GI) and glycemic load (GL) of commonly consumed staple foods in Northern Nigeria, with the goal of enhancing local dietary guidance and contributing to the prevention and management of non-communicable diseases (NCDs), particularly diabetes and cardiovascular diseases. Despite the increasing prevalence of diet-related chronic illnesses in Nigeria, especially in the North, there is limited data on the GI of traditional foods such as </w:t>
      </w:r>
      <w:r w:rsidDel="00000000" w:rsidR="00000000" w:rsidRPr="00000000">
        <w:rPr>
          <w:rFonts w:ascii="Times New Roman" w:cs="Times New Roman" w:eastAsia="Times New Roman" w:hAnsi="Times New Roman"/>
          <w:i w:val="1"/>
          <w:iCs w:val="1"/>
          <w:sz w:val="24"/>
          <w:szCs w:val="24"/>
          <w:rtl w:val="0"/>
        </w:rPr>
        <w:t xml:space="preserve">tuwo, masa, danwake,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yam porridge</w:t>
      </w:r>
      <w:r w:rsidDel="00000000" w:rsidR="00000000" w:rsidRPr="00000000">
        <w:rPr>
          <w:rFonts w:ascii="Times New Roman" w:cs="Times New Roman" w:eastAsia="Times New Roman" w:hAnsi="Times New Roman"/>
          <w:sz w:val="24"/>
          <w:szCs w:val="24"/>
          <w:rtl w:val="0"/>
        </w:rPr>
        <w:t xml:space="preserve">. Existing GI research largely focused on Western diets and failed to account for the regional and cultural diversity of African cuisines. This gap hinders the ability of healthcare providers to recommend culturally appropriate, nutritionally sound diets. A cross-sectional design was adopted and standardized GI testing protocols were used to evaluate the postprandial blood glucose response of the study subjects. Apparently healthy adults (100) were used and assessed using Oral Glucose Tolerance Tests (OGTT), anthropometric measurements, and controlled feeding procedures. Blood glucose measurement at multiple intervals post-consumption, and computation of GI and GL using validated methods was one. Results revealed that all tested foods had high GI values (65.21–97.39), with Fried Sweet Potato (97.39 ± 0.72) and Masa (95.74 ± 0.32) ranking highest. Pasta Jollof (65.21 ± 1.23) had the lowest GI, suggesting slower glucose release. Glycemic Load (GL) varied significantly, with </w:t>
      </w:r>
      <w:r w:rsidDel="00000000" w:rsidR="00000000" w:rsidRPr="00000000">
        <w:rPr>
          <w:rFonts w:ascii="Times New Roman" w:cs="Times New Roman" w:eastAsia="Times New Roman" w:hAnsi="Times New Roman"/>
          <w:i w:val="1"/>
          <w:iCs w:val="1"/>
          <w:sz w:val="24"/>
          <w:szCs w:val="24"/>
          <w:rtl w:val="0"/>
        </w:rPr>
        <w:t xml:space="preserve">Tuwon Shinkafa</w:t>
      </w:r>
      <w:r w:rsidDel="00000000" w:rsidR="00000000" w:rsidRPr="00000000">
        <w:rPr>
          <w:rFonts w:ascii="Times New Roman" w:cs="Times New Roman" w:eastAsia="Times New Roman" w:hAnsi="Times New Roman"/>
          <w:sz w:val="24"/>
          <w:szCs w:val="24"/>
          <w:rtl w:val="0"/>
        </w:rPr>
        <w:t xml:space="preserve"> (53.0 ± 0.40) and </w:t>
      </w:r>
      <w:r w:rsidDel="00000000" w:rsidR="00000000" w:rsidRPr="00000000">
        <w:rPr>
          <w:rFonts w:ascii="Times New Roman" w:cs="Times New Roman" w:eastAsia="Times New Roman" w:hAnsi="Times New Roman"/>
          <w:i w:val="1"/>
          <w:iCs w:val="1"/>
          <w:sz w:val="24"/>
          <w:szCs w:val="24"/>
          <w:rtl w:val="0"/>
        </w:rPr>
        <w:t xml:space="preserve">Semovita</w:t>
      </w:r>
      <w:r w:rsidDel="00000000" w:rsidR="00000000" w:rsidRPr="00000000">
        <w:rPr>
          <w:rFonts w:ascii="Times New Roman" w:cs="Times New Roman" w:eastAsia="Times New Roman" w:hAnsi="Times New Roman"/>
          <w:sz w:val="24"/>
          <w:szCs w:val="24"/>
          <w:rtl w:val="0"/>
        </w:rPr>
        <w:t xml:space="preserve"> (51.9 ± 0.38) exhibiting the highest GL due to large portion sizes and carbohydrate density. Chi-square analysis showed income (p = 0.024) and gender (p = 0.041) significantly influenced high-GI/GL food consumption, with low-income individuals (91.7%) and males (91.7%) more likely to consume these foods. The study highlighted ther metabolic risks posed by traditional high-GI staples in Gombe and underscores the need for nutrition education promoting low-GI alternatives like whole grains and fiber-rich foods. These findings provide important data for diabetes management strategies in Northern Nigeria, advocating for dietary modifications to mitigate glycemic spikes and reduce non-communicable disease (NCD) risks.</w:t>
      </w:r>
    </w:p>
    <w:p w:rsidR="00000000" w:rsidDel="00000000" w:rsidP="00000000" w:rsidRDefault="00000000" w:rsidRPr="00000000" w14:paraId="0000000D">
      <w:pPr>
        <w:spacing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glycemic index</w:t>
      </w:r>
      <w:r w:rsidDel="00000000" w:rsidR="00000000" w:rsidRPr="00000000">
        <w:rPr>
          <w:rFonts w:ascii="Times New Roman" w:cs="Times New Roman" w:eastAsia="Times New Roman" w:hAnsi="Times New Roman"/>
          <w:sz w:val="24"/>
          <w:szCs w:val="24"/>
          <w:rtl w:val="0"/>
        </w:rPr>
        <w:t xml:space="preserve">; glycemic load; non-communicable disease; tuwon shinkafa; masa</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