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F507" w14:textId="77777777" w:rsidR="002619BF" w:rsidRPr="005B5AB4" w:rsidRDefault="002619BF" w:rsidP="005B5AB4">
      <w:pPr>
        <w:pStyle w:val="JournalTitle"/>
        <w:spacing w:line="240" w:lineRule="auto"/>
      </w:pPr>
      <w:r w:rsidRPr="005B5AB4">
        <w:rPr>
          <w:sz w:val="24"/>
        </w:rPr>
        <w:t xml:space="preserve">INSTRUCTIONS FOR TYPESETTING MANUSCRIPTS USING MSWORD </w:t>
      </w:r>
    </w:p>
    <w:p w14:paraId="549BB5B4" w14:textId="77777777" w:rsidR="002619BF" w:rsidRPr="005B5AB4" w:rsidRDefault="002619BF">
      <w:pPr>
        <w:pStyle w:val="Author"/>
        <w:rPr>
          <w:i w:val="0"/>
          <w:snapToGrid/>
          <w:color w:val="0000FF"/>
        </w:rPr>
      </w:pPr>
      <w:r w:rsidRPr="005B5AB4">
        <w:rPr>
          <w:i w:val="0"/>
          <w:snapToGrid/>
        </w:rPr>
        <w:t>FIRST, SECOND</w:t>
      </w:r>
      <w:r w:rsidR="00B45F16" w:rsidRPr="005B5AB4">
        <w:rPr>
          <w:i w:val="0"/>
          <w:snapToGrid/>
        </w:rPr>
        <w:t>*</w:t>
      </w:r>
      <w:r w:rsidRPr="005B5AB4">
        <w:rPr>
          <w:i w:val="0"/>
          <w:snapToGrid/>
        </w:rPr>
        <w:t xml:space="preserve"> &amp; THIRD AUTHORS’ FULL NAMES</w:t>
      </w:r>
      <w:r w:rsidRPr="005B5AB4">
        <w:rPr>
          <w:i w:val="0"/>
          <w:snapToGrid/>
          <w:color w:val="0000FF"/>
        </w:rPr>
        <w:t xml:space="preserve"> </w:t>
      </w:r>
    </w:p>
    <w:p w14:paraId="7496A203" w14:textId="77777777" w:rsidR="002619BF" w:rsidRPr="005B5AB4" w:rsidRDefault="002619BF">
      <w:pPr>
        <w:pStyle w:val="Author"/>
        <w:rPr>
          <w:snapToGrid/>
          <w:color w:val="0000FF"/>
        </w:rPr>
      </w:pPr>
    </w:p>
    <w:p w14:paraId="51D2554F" w14:textId="77777777" w:rsidR="002619BF" w:rsidRPr="005B5AB4" w:rsidRDefault="002619BF">
      <w:pPr>
        <w:pStyle w:val="Author"/>
        <w:rPr>
          <w:color w:val="0000FF"/>
        </w:rPr>
      </w:pPr>
      <w:r w:rsidRPr="005B5AB4">
        <w:t xml:space="preserve">ABSTRACT </w:t>
      </w:r>
    </w:p>
    <w:p w14:paraId="0D1F9A3C" w14:textId="77777777" w:rsidR="002619BF" w:rsidRPr="005B5AB4" w:rsidRDefault="002619BF">
      <w:pPr>
        <w:pStyle w:val="Abstract"/>
        <w:rPr>
          <w:szCs w:val="20"/>
        </w:rPr>
      </w:pPr>
      <w:r w:rsidRPr="005B5AB4">
        <w:t>The abstract should summarise the context, content and conclusions of the paper in less than 250 words. It should not contain any reference citations or displayed equations. Typeset the abstract in 10 pt ro</w:t>
      </w:r>
      <w:r w:rsidR="00225FF7" w:rsidRPr="005B5AB4">
        <w:t>man with single line spacing and</w:t>
      </w:r>
      <w:r w:rsidRPr="005B5AB4">
        <w:t xml:space="preserve"> indentation of  0.63 cm on both the left and the right sides. </w:t>
      </w:r>
    </w:p>
    <w:p w14:paraId="106C9DCE" w14:textId="77777777" w:rsidR="002619BF" w:rsidRPr="005B5AB4" w:rsidRDefault="002619BF">
      <w:pPr>
        <w:pStyle w:val="keywords"/>
        <w:rPr>
          <w:color w:val="FF6600"/>
        </w:rPr>
      </w:pPr>
      <w:r w:rsidRPr="005B5AB4">
        <w:rPr>
          <w:i/>
        </w:rPr>
        <w:t>Keywords</w:t>
      </w:r>
      <w:r w:rsidRPr="005B5AB4">
        <w:t xml:space="preserve">: keyword1; keyword2; keyword3 </w:t>
      </w:r>
    </w:p>
    <w:p w14:paraId="31EEAF8B" w14:textId="77777777" w:rsidR="002619BF" w:rsidRPr="005B5AB4" w:rsidRDefault="002619BF">
      <w:pPr>
        <w:pStyle w:val="Heading1"/>
        <w:spacing w:before="360"/>
        <w:rPr>
          <w:sz w:val="22"/>
        </w:rPr>
      </w:pPr>
      <w:r w:rsidRPr="005B5AB4">
        <w:rPr>
          <w:sz w:val="22"/>
        </w:rPr>
        <w:t xml:space="preserve">The Main Text </w:t>
      </w:r>
    </w:p>
    <w:p w14:paraId="2CD13AD1" w14:textId="77777777" w:rsidR="002619BF" w:rsidRPr="005B5AB4" w:rsidRDefault="002619BF">
      <w:pPr>
        <w:pStyle w:val="Text"/>
        <w:rPr>
          <w:sz w:val="22"/>
        </w:rPr>
      </w:pPr>
      <w:r w:rsidRPr="005B5AB4">
        <w:rPr>
          <w:sz w:val="22"/>
        </w:rPr>
        <w:t xml:space="preserve">Authors are encouraged to have their contribution checked for grammar. British English should be used. Abbreviations are allowed but should be spelt out in full when first used. Integers ten and below are to be spelt out. Foreign language phrases should be italicised (e.g. Latin, French). </w:t>
      </w:r>
    </w:p>
    <w:p w14:paraId="71CA3D2A" w14:textId="77777777" w:rsidR="002619BF" w:rsidRPr="005B5AB4" w:rsidRDefault="002619BF">
      <w:pPr>
        <w:pStyle w:val="TextIndent"/>
      </w:pPr>
      <w:r w:rsidRPr="005B5AB4">
        <w:t xml:space="preserve">The text is to be typeset in </w:t>
      </w:r>
      <w:r w:rsidRPr="005B5AB4">
        <w:rPr>
          <w:b/>
        </w:rPr>
        <w:t>11 pt</w:t>
      </w:r>
      <w:r w:rsidR="000C4155" w:rsidRPr="005B5AB4">
        <w:rPr>
          <w:b/>
        </w:rPr>
        <w:t xml:space="preserve"> Times New Roman font</w:t>
      </w:r>
      <w:r w:rsidRPr="005B5AB4">
        <w:rPr>
          <w:b/>
        </w:rPr>
        <w:t xml:space="preserve">  </w:t>
      </w:r>
      <w:r w:rsidR="000C4155" w:rsidRPr="005B5AB4">
        <w:rPr>
          <w:b/>
        </w:rPr>
        <w:t>single spacing</w:t>
      </w:r>
      <w:r w:rsidRPr="005B5AB4">
        <w:t xml:space="preserve">. Text should be prepared in A4 size (21 cm </w:t>
      </w:r>
      <w:r w:rsidRPr="005B5AB4">
        <w:sym w:font="Symbol" w:char="F0B4"/>
      </w:r>
      <w:r w:rsidRPr="005B5AB4">
        <w:t xml:space="preserve"> 29.7 cm) area with</w:t>
      </w:r>
      <w:r w:rsidRPr="005B5AB4">
        <w:rPr>
          <w:b/>
        </w:rPr>
        <w:t xml:space="preserve"> </w:t>
      </w:r>
      <w:r w:rsidRPr="005B5AB4">
        <w:rPr>
          <w:b/>
          <w:i/>
          <w:iCs/>
        </w:rPr>
        <w:t xml:space="preserve">margins </w:t>
      </w:r>
      <w:r w:rsidRPr="005B5AB4">
        <w:rPr>
          <w:b/>
        </w:rPr>
        <w:t>of 3.81 cm on top, 3.50 at the bottom, and 3.17 cm on the left and the right sides</w:t>
      </w:r>
      <w:r w:rsidRPr="005B5AB4">
        <w:t xml:space="preserve">. Header and footer should be set at 2.3 cm and 2.2 cm from the edge, respectively. The first paragraph begins with no indentation but subsequent paragraphs to have the </w:t>
      </w:r>
      <w:r w:rsidRPr="005B5AB4">
        <w:rPr>
          <w:i/>
          <w:iCs/>
        </w:rPr>
        <w:t xml:space="preserve">first line </w:t>
      </w:r>
      <w:r w:rsidRPr="005B5AB4">
        <w:t>0.5 cm indented. Final pagination and insertion of titles will be done by the publisher. Upon acceptance, authors are required to submit their data source file including postscript</w:t>
      </w:r>
      <w:r w:rsidR="000C4155" w:rsidRPr="005B5AB4">
        <w:t>/source/raw</w:t>
      </w:r>
      <w:r w:rsidRPr="005B5AB4">
        <w:t xml:space="preserve"> files for figures, preferably via e-mail. </w:t>
      </w:r>
      <w:r w:rsidR="000C4155" w:rsidRPr="005B5AB4">
        <w:t xml:space="preserve">Manuscript for evaluation should be set in </w:t>
      </w:r>
      <w:r w:rsidR="000C4155" w:rsidRPr="005B5AB4">
        <w:rPr>
          <w:b/>
        </w:rPr>
        <w:t>double spacing</w:t>
      </w:r>
      <w:r w:rsidR="000C4155" w:rsidRPr="005B5AB4">
        <w:t xml:space="preserve"> before submission.</w:t>
      </w:r>
    </w:p>
    <w:p w14:paraId="76995AE8" w14:textId="77777777" w:rsidR="002619BF" w:rsidRPr="005B5AB4" w:rsidRDefault="002619BF">
      <w:pPr>
        <w:pStyle w:val="Heading1"/>
        <w:spacing w:before="360"/>
        <w:rPr>
          <w:sz w:val="22"/>
        </w:rPr>
      </w:pPr>
      <w:r w:rsidRPr="005B5AB4">
        <w:rPr>
          <w:sz w:val="22"/>
        </w:rPr>
        <w:t xml:space="preserve">Major Headings </w:t>
      </w:r>
    </w:p>
    <w:p w14:paraId="744170C9" w14:textId="77777777" w:rsidR="002619BF" w:rsidRPr="005B5AB4" w:rsidRDefault="002619BF">
      <w:pPr>
        <w:pStyle w:val="Text"/>
        <w:rPr>
          <w:sz w:val="22"/>
        </w:rPr>
      </w:pPr>
      <w:r w:rsidRPr="005B5AB4">
        <w:rPr>
          <w:sz w:val="22"/>
        </w:rPr>
        <w:t xml:space="preserve">Major headings should be typeset in </w:t>
      </w:r>
      <w:r w:rsidRPr="005B5AB4">
        <w:rPr>
          <w:b/>
          <w:bCs/>
          <w:sz w:val="22"/>
        </w:rPr>
        <w:t xml:space="preserve">boldface </w:t>
      </w:r>
      <w:r w:rsidRPr="005B5AB4">
        <w:rPr>
          <w:sz w:val="22"/>
        </w:rPr>
        <w:t xml:space="preserve">with the first letter of important words capitalised. </w:t>
      </w:r>
    </w:p>
    <w:p w14:paraId="0D90CEA0" w14:textId="77777777" w:rsidR="002619BF" w:rsidRPr="005B5AB4" w:rsidRDefault="002619BF">
      <w:pPr>
        <w:pStyle w:val="Heading2"/>
        <w:rPr>
          <w:sz w:val="22"/>
        </w:rPr>
      </w:pPr>
      <w:r w:rsidRPr="005B5AB4">
        <w:rPr>
          <w:sz w:val="22"/>
        </w:rPr>
        <w:t xml:space="preserve"> Sub-headings </w:t>
      </w:r>
    </w:p>
    <w:p w14:paraId="0753907E" w14:textId="77777777" w:rsidR="002619BF" w:rsidRPr="005B5AB4" w:rsidRDefault="002619BF">
      <w:pPr>
        <w:pStyle w:val="Text"/>
        <w:rPr>
          <w:sz w:val="22"/>
        </w:rPr>
      </w:pPr>
      <w:r w:rsidRPr="005B5AB4">
        <w:rPr>
          <w:sz w:val="22"/>
        </w:rPr>
        <w:t xml:space="preserve">Sub-headings should be typeset in boldface italic and capitalise the first letter of the first word only. </w:t>
      </w:r>
      <w:r w:rsidRPr="005B5AB4">
        <w:rPr>
          <w:b/>
          <w:sz w:val="22"/>
        </w:rPr>
        <w:t>Section number</w:t>
      </w:r>
      <w:r w:rsidRPr="005B5AB4">
        <w:rPr>
          <w:sz w:val="22"/>
        </w:rPr>
        <w:t xml:space="preserve"> should be in boldface roman. </w:t>
      </w:r>
    </w:p>
    <w:p w14:paraId="2BDAE660" w14:textId="77777777" w:rsidR="002619BF" w:rsidRPr="005B5AB4" w:rsidRDefault="002619BF">
      <w:pPr>
        <w:pStyle w:val="Heading3"/>
        <w:rPr>
          <w:sz w:val="22"/>
        </w:rPr>
      </w:pPr>
      <w:r w:rsidRPr="005B5AB4">
        <w:rPr>
          <w:i w:val="0"/>
          <w:sz w:val="22"/>
        </w:rPr>
        <w:t>2.1.1.</w:t>
      </w:r>
      <w:r w:rsidRPr="005B5AB4">
        <w:rPr>
          <w:sz w:val="22"/>
        </w:rPr>
        <w:t xml:space="preserve"> Sub-subheadings </w:t>
      </w:r>
    </w:p>
    <w:p w14:paraId="07C4B7FC" w14:textId="77777777" w:rsidR="002619BF" w:rsidRPr="005B5AB4" w:rsidRDefault="002619BF">
      <w:pPr>
        <w:pStyle w:val="Text"/>
        <w:rPr>
          <w:sz w:val="22"/>
        </w:rPr>
      </w:pPr>
      <w:r w:rsidRPr="005B5AB4">
        <w:rPr>
          <w:sz w:val="22"/>
        </w:rPr>
        <w:t xml:space="preserve">Typeset sub-subheadings in medium face italic and capitalise the first letter of the first word only. Section numbers to be in roman as above. Note that a </w:t>
      </w:r>
      <w:r w:rsidRPr="005B5AB4">
        <w:rPr>
          <w:i/>
          <w:iCs/>
          <w:sz w:val="22"/>
        </w:rPr>
        <w:t>period</w:t>
      </w:r>
      <w:r w:rsidRPr="005B5AB4">
        <w:rPr>
          <w:b/>
          <w:bCs/>
          <w:sz w:val="22"/>
        </w:rPr>
        <w:t xml:space="preserve"> </w:t>
      </w:r>
      <w:r w:rsidRPr="005B5AB4">
        <w:rPr>
          <w:sz w:val="22"/>
        </w:rPr>
        <w:t xml:space="preserve">is inserted after the number, and there is only a single space before the text.  </w:t>
      </w:r>
    </w:p>
    <w:p w14:paraId="20D3007C" w14:textId="77777777" w:rsidR="002619BF" w:rsidRPr="005B5AB4" w:rsidRDefault="002619BF">
      <w:pPr>
        <w:pStyle w:val="Heading2"/>
        <w:numPr>
          <w:ilvl w:val="0"/>
          <w:numId w:val="0"/>
        </w:numPr>
        <w:ind w:right="357"/>
        <w:rPr>
          <w:color w:val="993300"/>
          <w:sz w:val="22"/>
        </w:rPr>
      </w:pPr>
      <w:r w:rsidRPr="005B5AB4">
        <w:rPr>
          <w:i w:val="0"/>
          <w:iCs/>
          <w:sz w:val="22"/>
        </w:rPr>
        <w:t>2.2.</w:t>
      </w:r>
      <w:r w:rsidRPr="005B5AB4">
        <w:rPr>
          <w:sz w:val="22"/>
        </w:rPr>
        <w:t xml:space="preserve">  Numbering and spacing</w:t>
      </w:r>
    </w:p>
    <w:p w14:paraId="59C668E4" w14:textId="77777777" w:rsidR="002619BF" w:rsidRPr="005B5AB4" w:rsidRDefault="002619BF">
      <w:pPr>
        <w:pStyle w:val="Text"/>
        <w:rPr>
          <w:sz w:val="22"/>
        </w:rPr>
      </w:pPr>
      <w:r w:rsidRPr="005B5AB4">
        <w:rPr>
          <w:sz w:val="22"/>
        </w:rPr>
        <w:t xml:space="preserve">Sections, sub-sections and sub-subsections are numbered in Arabic. </w:t>
      </w:r>
    </w:p>
    <w:p w14:paraId="2BB2D67C" w14:textId="77777777" w:rsidR="002619BF" w:rsidRPr="005B5AB4" w:rsidRDefault="002619BF">
      <w:pPr>
        <w:pStyle w:val="Heading2"/>
        <w:numPr>
          <w:ilvl w:val="0"/>
          <w:numId w:val="0"/>
        </w:numPr>
        <w:rPr>
          <w:color w:val="993300"/>
          <w:sz w:val="22"/>
        </w:rPr>
      </w:pPr>
      <w:r w:rsidRPr="005B5AB4">
        <w:rPr>
          <w:i w:val="0"/>
          <w:iCs/>
          <w:sz w:val="22"/>
        </w:rPr>
        <w:t>2.3.</w:t>
      </w:r>
      <w:r w:rsidRPr="005B5AB4">
        <w:rPr>
          <w:sz w:val="22"/>
        </w:rPr>
        <w:t xml:space="preserve"> Lists of items </w:t>
      </w:r>
    </w:p>
    <w:p w14:paraId="06DB1CDB" w14:textId="77777777" w:rsidR="002619BF" w:rsidRPr="005B5AB4" w:rsidRDefault="002619BF">
      <w:pPr>
        <w:pStyle w:val="Text"/>
        <w:rPr>
          <w:sz w:val="22"/>
        </w:rPr>
      </w:pPr>
      <w:r w:rsidRPr="005B5AB4">
        <w:rPr>
          <w:sz w:val="22"/>
        </w:rPr>
        <w:t>List may be presented with each item marked by bullets and numbers.</w:t>
      </w:r>
    </w:p>
    <w:p w14:paraId="1EEEADD1" w14:textId="77777777" w:rsidR="002619BF" w:rsidRPr="005B5AB4" w:rsidRDefault="002619BF">
      <w:pPr>
        <w:pStyle w:val="Heading2"/>
        <w:numPr>
          <w:ilvl w:val="0"/>
          <w:numId w:val="0"/>
        </w:numPr>
        <w:rPr>
          <w:sz w:val="22"/>
        </w:rPr>
      </w:pPr>
      <w:r w:rsidRPr="005B5AB4">
        <w:rPr>
          <w:sz w:val="22"/>
        </w:rPr>
        <w:lastRenderedPageBreak/>
        <w:t xml:space="preserve">Bulleted items </w:t>
      </w:r>
    </w:p>
    <w:p w14:paraId="458EDD81" w14:textId="77777777" w:rsidR="002619BF" w:rsidRPr="005B5AB4" w:rsidRDefault="002619BF">
      <w:pPr>
        <w:pStyle w:val="List"/>
        <w:spacing w:line="260" w:lineRule="exact"/>
        <w:rPr>
          <w:sz w:val="22"/>
        </w:rPr>
      </w:pPr>
      <w:r w:rsidRPr="005B5AB4">
        <w:rPr>
          <w:sz w:val="22"/>
        </w:rPr>
        <w:t>item one</w:t>
      </w:r>
    </w:p>
    <w:p w14:paraId="14D468A5" w14:textId="77777777" w:rsidR="002619BF" w:rsidRPr="005B5AB4" w:rsidRDefault="002619BF">
      <w:pPr>
        <w:pStyle w:val="List"/>
        <w:spacing w:line="260" w:lineRule="exact"/>
        <w:rPr>
          <w:sz w:val="22"/>
        </w:rPr>
      </w:pPr>
      <w:r w:rsidRPr="005B5AB4">
        <w:rPr>
          <w:sz w:val="22"/>
        </w:rPr>
        <w:t>item two</w:t>
      </w:r>
    </w:p>
    <w:p w14:paraId="33BF400F" w14:textId="77777777" w:rsidR="002619BF" w:rsidRPr="005B5AB4" w:rsidRDefault="002619BF">
      <w:pPr>
        <w:pStyle w:val="List"/>
        <w:spacing w:line="260" w:lineRule="exact"/>
        <w:rPr>
          <w:sz w:val="22"/>
        </w:rPr>
      </w:pPr>
      <w:r w:rsidRPr="005B5AB4">
        <w:rPr>
          <w:sz w:val="22"/>
        </w:rPr>
        <w:t xml:space="preserve">item three </w:t>
      </w:r>
    </w:p>
    <w:p w14:paraId="4B09492E" w14:textId="77777777" w:rsidR="002619BF" w:rsidRPr="005B5AB4" w:rsidRDefault="002619BF">
      <w:pPr>
        <w:pStyle w:val="Heading2"/>
        <w:numPr>
          <w:ilvl w:val="0"/>
          <w:numId w:val="0"/>
        </w:numPr>
        <w:rPr>
          <w:sz w:val="22"/>
        </w:rPr>
      </w:pPr>
      <w:r w:rsidRPr="005B5AB4">
        <w:rPr>
          <w:sz w:val="22"/>
        </w:rPr>
        <w:t xml:space="preserve">Numbered items </w:t>
      </w:r>
    </w:p>
    <w:p w14:paraId="3E49395C" w14:textId="77777777" w:rsidR="002619BF" w:rsidRPr="005B5AB4" w:rsidRDefault="002619BF">
      <w:pPr>
        <w:pStyle w:val="NList"/>
        <w:rPr>
          <w:sz w:val="22"/>
        </w:rPr>
      </w:pPr>
      <w:r w:rsidRPr="005B5AB4">
        <w:rPr>
          <w:sz w:val="22"/>
        </w:rPr>
        <w:t>item one</w:t>
      </w:r>
    </w:p>
    <w:p w14:paraId="1A2A5B7C" w14:textId="77777777" w:rsidR="002619BF" w:rsidRPr="005B5AB4" w:rsidRDefault="002619BF">
      <w:pPr>
        <w:pStyle w:val="NList"/>
        <w:rPr>
          <w:sz w:val="22"/>
        </w:rPr>
      </w:pPr>
      <w:r w:rsidRPr="005B5AB4">
        <w:rPr>
          <w:sz w:val="22"/>
        </w:rPr>
        <w:t>item two</w:t>
      </w:r>
    </w:p>
    <w:p w14:paraId="66046E73" w14:textId="77777777" w:rsidR="002619BF" w:rsidRPr="005B5AB4" w:rsidRDefault="002619BF">
      <w:pPr>
        <w:pStyle w:val="NList"/>
        <w:rPr>
          <w:sz w:val="22"/>
        </w:rPr>
      </w:pPr>
      <w:r w:rsidRPr="005B5AB4">
        <w:rPr>
          <w:sz w:val="22"/>
        </w:rPr>
        <w:t xml:space="preserve">item three.   </w:t>
      </w:r>
    </w:p>
    <w:p w14:paraId="530E19C7" w14:textId="77777777" w:rsidR="002619BF" w:rsidRPr="005B5AB4" w:rsidRDefault="002619BF">
      <w:pPr>
        <w:pStyle w:val="TextIndent"/>
      </w:pPr>
      <w:r w:rsidRPr="005B5AB4">
        <w:t xml:space="preserve">The order of subdivisions of items in bullet and numbered lists may be presented as follows: </w:t>
      </w:r>
    </w:p>
    <w:p w14:paraId="5EFFC5A0" w14:textId="77777777" w:rsidR="002619BF" w:rsidRPr="005B5AB4" w:rsidRDefault="002619BF">
      <w:pPr>
        <w:pStyle w:val="Heading2"/>
        <w:numPr>
          <w:ilvl w:val="0"/>
          <w:numId w:val="0"/>
        </w:numPr>
        <w:rPr>
          <w:sz w:val="22"/>
        </w:rPr>
      </w:pPr>
      <w:r w:rsidRPr="005B5AB4">
        <w:rPr>
          <w:sz w:val="22"/>
        </w:rPr>
        <w:t xml:space="preserve">Bulleted items </w:t>
      </w:r>
    </w:p>
    <w:p w14:paraId="154D7F44" w14:textId="77777777" w:rsidR="002619BF" w:rsidRPr="005B5AB4" w:rsidRDefault="002619BF">
      <w:pPr>
        <w:pStyle w:val="List"/>
        <w:spacing w:line="260" w:lineRule="exact"/>
        <w:rPr>
          <w:sz w:val="22"/>
        </w:rPr>
      </w:pPr>
      <w:r w:rsidRPr="005B5AB4">
        <w:rPr>
          <w:sz w:val="22"/>
        </w:rPr>
        <w:t>First item in the first level</w:t>
      </w:r>
    </w:p>
    <w:p w14:paraId="59181C02" w14:textId="77777777" w:rsidR="002619BF" w:rsidRPr="005B5AB4" w:rsidRDefault="002619BF">
      <w:pPr>
        <w:pStyle w:val="List"/>
        <w:spacing w:line="260" w:lineRule="exact"/>
        <w:rPr>
          <w:sz w:val="22"/>
        </w:rPr>
      </w:pPr>
      <w:r w:rsidRPr="005B5AB4">
        <w:rPr>
          <w:sz w:val="22"/>
        </w:rPr>
        <w:t>Second item in the first level</w:t>
      </w:r>
    </w:p>
    <w:p w14:paraId="0CF75D6F" w14:textId="77777777" w:rsidR="002619BF" w:rsidRPr="005B5AB4" w:rsidRDefault="002619BF" w:rsidP="002619BF">
      <w:pPr>
        <w:pStyle w:val="List"/>
        <w:numPr>
          <w:ilvl w:val="1"/>
          <w:numId w:val="6"/>
        </w:numPr>
        <w:tabs>
          <w:tab w:val="clear" w:pos="1440"/>
          <w:tab w:val="num" w:pos="660"/>
        </w:tabs>
        <w:spacing w:line="260" w:lineRule="exact"/>
        <w:ind w:left="660" w:hanging="275"/>
        <w:rPr>
          <w:sz w:val="22"/>
        </w:rPr>
      </w:pPr>
      <w:r w:rsidRPr="005B5AB4">
        <w:rPr>
          <w:sz w:val="22"/>
        </w:rPr>
        <w:t>First item in the second level</w:t>
      </w:r>
    </w:p>
    <w:p w14:paraId="08C82399" w14:textId="77777777" w:rsidR="002619BF" w:rsidRPr="005B5AB4" w:rsidRDefault="002619BF" w:rsidP="002619BF">
      <w:pPr>
        <w:pStyle w:val="List"/>
        <w:numPr>
          <w:ilvl w:val="1"/>
          <w:numId w:val="6"/>
        </w:numPr>
        <w:tabs>
          <w:tab w:val="clear" w:pos="1440"/>
          <w:tab w:val="num" w:pos="660"/>
        </w:tabs>
        <w:spacing w:line="260" w:lineRule="exact"/>
        <w:ind w:left="660" w:hanging="275"/>
        <w:rPr>
          <w:sz w:val="22"/>
        </w:rPr>
      </w:pPr>
      <w:r w:rsidRPr="005B5AB4">
        <w:rPr>
          <w:sz w:val="22"/>
        </w:rPr>
        <w:t>Second item in the second level</w:t>
      </w:r>
    </w:p>
    <w:p w14:paraId="010A67DF" w14:textId="77777777" w:rsidR="002619BF" w:rsidRPr="005B5AB4" w:rsidRDefault="002619BF" w:rsidP="002619BF">
      <w:pPr>
        <w:pStyle w:val="List"/>
        <w:numPr>
          <w:ilvl w:val="0"/>
          <w:numId w:val="9"/>
        </w:numPr>
        <w:spacing w:line="260" w:lineRule="exact"/>
        <w:rPr>
          <w:sz w:val="22"/>
        </w:rPr>
      </w:pPr>
      <w:r w:rsidRPr="005B5AB4">
        <w:rPr>
          <w:sz w:val="22"/>
        </w:rPr>
        <w:t>First item in the third level</w:t>
      </w:r>
    </w:p>
    <w:p w14:paraId="073F8DD6" w14:textId="77777777" w:rsidR="002619BF" w:rsidRPr="005B5AB4" w:rsidRDefault="002619BF" w:rsidP="002619BF">
      <w:pPr>
        <w:pStyle w:val="List"/>
        <w:numPr>
          <w:ilvl w:val="0"/>
          <w:numId w:val="9"/>
        </w:numPr>
        <w:spacing w:line="260" w:lineRule="exact"/>
        <w:rPr>
          <w:sz w:val="22"/>
        </w:rPr>
      </w:pPr>
      <w:r w:rsidRPr="005B5AB4">
        <w:rPr>
          <w:sz w:val="22"/>
        </w:rPr>
        <w:t>Second item in the third level</w:t>
      </w:r>
    </w:p>
    <w:p w14:paraId="2C310A95" w14:textId="77777777" w:rsidR="002619BF" w:rsidRPr="005B5AB4" w:rsidRDefault="002619BF" w:rsidP="002619BF">
      <w:pPr>
        <w:pStyle w:val="List"/>
        <w:numPr>
          <w:ilvl w:val="1"/>
          <w:numId w:val="6"/>
        </w:numPr>
        <w:tabs>
          <w:tab w:val="clear" w:pos="1440"/>
          <w:tab w:val="num" w:pos="660"/>
        </w:tabs>
        <w:spacing w:line="260" w:lineRule="exact"/>
        <w:ind w:left="660" w:hanging="275"/>
        <w:rPr>
          <w:sz w:val="22"/>
        </w:rPr>
      </w:pPr>
      <w:r w:rsidRPr="005B5AB4">
        <w:rPr>
          <w:sz w:val="22"/>
        </w:rPr>
        <w:t>Third item in the second level</w:t>
      </w:r>
    </w:p>
    <w:p w14:paraId="706FD22D" w14:textId="77777777" w:rsidR="002619BF" w:rsidRPr="005B5AB4" w:rsidRDefault="002619BF" w:rsidP="002619BF">
      <w:pPr>
        <w:pStyle w:val="List"/>
        <w:widowControl w:val="0"/>
        <w:numPr>
          <w:ilvl w:val="1"/>
          <w:numId w:val="6"/>
        </w:numPr>
        <w:tabs>
          <w:tab w:val="clear" w:pos="1440"/>
          <w:tab w:val="num" w:pos="660"/>
        </w:tabs>
        <w:spacing w:line="260" w:lineRule="exact"/>
        <w:ind w:left="663" w:hanging="274"/>
        <w:rPr>
          <w:sz w:val="22"/>
        </w:rPr>
      </w:pPr>
      <w:r w:rsidRPr="005B5AB4">
        <w:rPr>
          <w:sz w:val="22"/>
        </w:rPr>
        <w:t>Fourth item in the second level</w:t>
      </w:r>
    </w:p>
    <w:p w14:paraId="0CDEFAF4" w14:textId="77777777" w:rsidR="002619BF" w:rsidRPr="005B5AB4" w:rsidRDefault="002619BF">
      <w:pPr>
        <w:pStyle w:val="List"/>
        <w:spacing w:line="260" w:lineRule="exact"/>
        <w:rPr>
          <w:sz w:val="22"/>
        </w:rPr>
      </w:pPr>
      <w:r w:rsidRPr="005B5AB4">
        <w:rPr>
          <w:sz w:val="22"/>
        </w:rPr>
        <w:t xml:space="preserve">Third item in the first level </w:t>
      </w:r>
    </w:p>
    <w:p w14:paraId="614E2267" w14:textId="77777777" w:rsidR="002619BF" w:rsidRPr="005B5AB4" w:rsidRDefault="002619BF">
      <w:pPr>
        <w:pStyle w:val="List"/>
        <w:spacing w:line="260" w:lineRule="exact"/>
        <w:rPr>
          <w:sz w:val="22"/>
        </w:rPr>
      </w:pPr>
      <w:r w:rsidRPr="005B5AB4">
        <w:rPr>
          <w:sz w:val="22"/>
        </w:rPr>
        <w:t>Fourth item in the first level</w:t>
      </w:r>
    </w:p>
    <w:p w14:paraId="0D8AB95D" w14:textId="77777777" w:rsidR="002619BF" w:rsidRPr="005B5AB4" w:rsidRDefault="002619BF">
      <w:pPr>
        <w:pStyle w:val="Heading2"/>
        <w:numPr>
          <w:ilvl w:val="0"/>
          <w:numId w:val="0"/>
        </w:numPr>
        <w:rPr>
          <w:sz w:val="22"/>
        </w:rPr>
      </w:pPr>
      <w:r w:rsidRPr="005B5AB4">
        <w:rPr>
          <w:sz w:val="22"/>
        </w:rPr>
        <w:t>Numbered items</w:t>
      </w:r>
    </w:p>
    <w:p w14:paraId="1DF5E680" w14:textId="77777777" w:rsidR="002619BF" w:rsidRPr="005B5AB4" w:rsidRDefault="002619BF" w:rsidP="002619BF">
      <w:pPr>
        <w:pStyle w:val="NList"/>
        <w:numPr>
          <w:ilvl w:val="0"/>
          <w:numId w:val="7"/>
        </w:numPr>
        <w:rPr>
          <w:sz w:val="22"/>
        </w:rPr>
      </w:pPr>
      <w:r w:rsidRPr="005B5AB4">
        <w:rPr>
          <w:sz w:val="22"/>
        </w:rPr>
        <w:t xml:space="preserve">First item in the first level </w:t>
      </w:r>
    </w:p>
    <w:p w14:paraId="7D987B70" w14:textId="77777777" w:rsidR="002619BF" w:rsidRPr="005B5AB4" w:rsidRDefault="002619BF" w:rsidP="002619BF">
      <w:pPr>
        <w:pStyle w:val="NList"/>
        <w:numPr>
          <w:ilvl w:val="0"/>
          <w:numId w:val="7"/>
        </w:numPr>
        <w:rPr>
          <w:sz w:val="22"/>
        </w:rPr>
      </w:pPr>
      <w:r w:rsidRPr="005B5AB4">
        <w:rPr>
          <w:sz w:val="22"/>
        </w:rPr>
        <w:t>Second item in the first level</w:t>
      </w:r>
    </w:p>
    <w:p w14:paraId="5DC467B4" w14:textId="77777777" w:rsidR="002619BF" w:rsidRPr="005B5AB4" w:rsidRDefault="002619BF" w:rsidP="002619BF">
      <w:pPr>
        <w:pStyle w:val="NList"/>
        <w:numPr>
          <w:ilvl w:val="1"/>
          <w:numId w:val="7"/>
        </w:numPr>
        <w:tabs>
          <w:tab w:val="clear" w:pos="576"/>
          <w:tab w:val="num" w:pos="825"/>
        </w:tabs>
        <w:ind w:left="825" w:hanging="110"/>
        <w:rPr>
          <w:sz w:val="22"/>
        </w:rPr>
      </w:pPr>
      <w:r w:rsidRPr="005B5AB4">
        <w:rPr>
          <w:sz w:val="22"/>
        </w:rPr>
        <w:t xml:space="preserve">First item in the second level </w:t>
      </w:r>
    </w:p>
    <w:p w14:paraId="52CB5382" w14:textId="77777777" w:rsidR="002619BF" w:rsidRPr="005B5AB4" w:rsidRDefault="002619BF" w:rsidP="002619BF">
      <w:pPr>
        <w:pStyle w:val="NList"/>
        <w:numPr>
          <w:ilvl w:val="1"/>
          <w:numId w:val="7"/>
        </w:numPr>
        <w:tabs>
          <w:tab w:val="clear" w:pos="576"/>
          <w:tab w:val="num" w:pos="825"/>
        </w:tabs>
        <w:ind w:left="825" w:hanging="110"/>
        <w:rPr>
          <w:sz w:val="22"/>
        </w:rPr>
      </w:pPr>
      <w:r w:rsidRPr="005B5AB4">
        <w:rPr>
          <w:sz w:val="22"/>
        </w:rPr>
        <w:t>Second item in the second level</w:t>
      </w:r>
    </w:p>
    <w:p w14:paraId="5D4F8A60" w14:textId="77777777" w:rsidR="002619BF" w:rsidRPr="005B5AB4" w:rsidRDefault="002619BF" w:rsidP="002619BF">
      <w:pPr>
        <w:pStyle w:val="NList"/>
        <w:numPr>
          <w:ilvl w:val="2"/>
          <w:numId w:val="8"/>
        </w:numPr>
        <w:tabs>
          <w:tab w:val="clear" w:pos="936"/>
          <w:tab w:val="left" w:pos="1045"/>
        </w:tabs>
        <w:ind w:left="822"/>
        <w:rPr>
          <w:sz w:val="22"/>
        </w:rPr>
      </w:pPr>
      <w:r w:rsidRPr="005B5AB4">
        <w:rPr>
          <w:sz w:val="22"/>
        </w:rPr>
        <w:t xml:space="preserve">First item in the third level </w:t>
      </w:r>
    </w:p>
    <w:p w14:paraId="4F7C7125" w14:textId="77777777" w:rsidR="002619BF" w:rsidRPr="005B5AB4" w:rsidRDefault="002619BF" w:rsidP="002619BF">
      <w:pPr>
        <w:pStyle w:val="NList"/>
        <w:numPr>
          <w:ilvl w:val="2"/>
          <w:numId w:val="8"/>
        </w:numPr>
        <w:tabs>
          <w:tab w:val="clear" w:pos="936"/>
          <w:tab w:val="left" w:pos="1045"/>
        </w:tabs>
        <w:ind w:left="825"/>
        <w:rPr>
          <w:sz w:val="22"/>
        </w:rPr>
      </w:pPr>
      <w:r w:rsidRPr="005B5AB4">
        <w:rPr>
          <w:sz w:val="22"/>
        </w:rPr>
        <w:t>Second item in the third level</w:t>
      </w:r>
    </w:p>
    <w:p w14:paraId="740D8456" w14:textId="77777777" w:rsidR="002619BF" w:rsidRPr="005B5AB4" w:rsidRDefault="002619BF" w:rsidP="002619BF">
      <w:pPr>
        <w:pStyle w:val="NList"/>
        <w:numPr>
          <w:ilvl w:val="1"/>
          <w:numId w:val="7"/>
        </w:numPr>
        <w:tabs>
          <w:tab w:val="clear" w:pos="576"/>
          <w:tab w:val="num" w:pos="825"/>
        </w:tabs>
        <w:ind w:left="825" w:hanging="110"/>
        <w:rPr>
          <w:sz w:val="22"/>
        </w:rPr>
      </w:pPr>
      <w:r w:rsidRPr="005B5AB4">
        <w:rPr>
          <w:sz w:val="22"/>
        </w:rPr>
        <w:t>Third item in the second level</w:t>
      </w:r>
    </w:p>
    <w:p w14:paraId="459AC6A9" w14:textId="77777777" w:rsidR="002619BF" w:rsidRPr="005B5AB4" w:rsidRDefault="002619BF" w:rsidP="002619BF">
      <w:pPr>
        <w:pStyle w:val="NList"/>
        <w:numPr>
          <w:ilvl w:val="1"/>
          <w:numId w:val="7"/>
        </w:numPr>
        <w:tabs>
          <w:tab w:val="clear" w:pos="576"/>
          <w:tab w:val="num" w:pos="825"/>
        </w:tabs>
        <w:ind w:left="825" w:hanging="110"/>
        <w:rPr>
          <w:sz w:val="22"/>
        </w:rPr>
      </w:pPr>
      <w:r w:rsidRPr="005B5AB4">
        <w:rPr>
          <w:sz w:val="22"/>
        </w:rPr>
        <w:t>Fourth item in the second level</w:t>
      </w:r>
    </w:p>
    <w:p w14:paraId="5DC41F21" w14:textId="77777777" w:rsidR="002619BF" w:rsidRPr="005B5AB4" w:rsidRDefault="002619BF" w:rsidP="002619BF">
      <w:pPr>
        <w:pStyle w:val="NList"/>
        <w:numPr>
          <w:ilvl w:val="0"/>
          <w:numId w:val="7"/>
        </w:numPr>
        <w:rPr>
          <w:sz w:val="22"/>
        </w:rPr>
      </w:pPr>
      <w:r w:rsidRPr="005B5AB4">
        <w:rPr>
          <w:sz w:val="22"/>
        </w:rPr>
        <w:t>Third item in the first level</w:t>
      </w:r>
    </w:p>
    <w:p w14:paraId="47EB17BE" w14:textId="77777777" w:rsidR="002619BF" w:rsidRPr="005B5AB4" w:rsidRDefault="002619BF">
      <w:pPr>
        <w:pStyle w:val="Heading1"/>
        <w:spacing w:before="360"/>
        <w:ind w:left="289" w:right="289" w:hanging="289"/>
        <w:rPr>
          <w:sz w:val="22"/>
        </w:rPr>
      </w:pPr>
      <w:r w:rsidRPr="005B5AB4">
        <w:rPr>
          <w:sz w:val="22"/>
        </w:rPr>
        <w:t xml:space="preserve">Equations </w:t>
      </w:r>
    </w:p>
    <w:p w14:paraId="20FABD4D" w14:textId="77777777" w:rsidR="002619BF" w:rsidRPr="005B5AB4" w:rsidRDefault="002619BF">
      <w:pPr>
        <w:pStyle w:val="Text"/>
        <w:rPr>
          <w:sz w:val="22"/>
        </w:rPr>
      </w:pPr>
      <w:r w:rsidRPr="005B5AB4">
        <w:rPr>
          <w:sz w:val="22"/>
        </w:rPr>
        <w:t>Equations should be numbered consecutively, especially those that are to be referred</w:t>
      </w:r>
      <w:r w:rsidRPr="005B5AB4">
        <w:rPr>
          <w:sz w:val="22"/>
          <w:vertAlign w:val="superscript"/>
        </w:rPr>
        <w:t>*</w:t>
      </w:r>
      <w:r w:rsidRPr="005B5AB4">
        <w:rPr>
          <w:sz w:val="22"/>
        </w:rPr>
        <w:t>, and they should start at the first tab stop</w:t>
      </w:r>
      <w:r w:rsidR="00316C00" w:rsidRPr="005B5AB4">
        <w:rPr>
          <w:sz w:val="22"/>
        </w:rPr>
        <w:t xml:space="preserve"> (5mm inside)</w:t>
      </w:r>
      <w:r w:rsidRPr="005B5AB4">
        <w:rPr>
          <w:sz w:val="22"/>
        </w:rPr>
        <w:t xml:space="preserve">, with the number set flush right and enclosed in parentheses as shown below. The equation numbers should be consecutive within the contribution. </w:t>
      </w:r>
    </w:p>
    <w:p w14:paraId="4E3CEE51" w14:textId="77777777" w:rsidR="002619BF" w:rsidRPr="005B5AB4" w:rsidRDefault="002619BF">
      <w:pPr>
        <w:pStyle w:val="Text"/>
        <w:rPr>
          <w:color w:val="993366"/>
          <w:sz w:val="22"/>
        </w:rPr>
      </w:pPr>
    </w:p>
    <w:p w14:paraId="128F6DE0" w14:textId="77777777" w:rsidR="002619BF" w:rsidRPr="005B5AB4" w:rsidRDefault="002619BF">
      <w:pPr>
        <w:pStyle w:val="Text"/>
        <w:tabs>
          <w:tab w:val="clear" w:pos="7200"/>
          <w:tab w:val="right" w:pos="8305"/>
        </w:tabs>
        <w:spacing w:line="260" w:lineRule="atLeast"/>
        <w:ind w:firstLine="567"/>
        <w:rPr>
          <w:color w:val="FF00FF"/>
          <w:sz w:val="22"/>
        </w:rPr>
      </w:pPr>
      <w:r w:rsidRPr="005B5AB4">
        <w:rPr>
          <w:i/>
          <w:position w:val="-28"/>
          <w:sz w:val="22"/>
          <w:szCs w:val="20"/>
          <w:lang w:val="ms-MY"/>
        </w:rPr>
        <w:object w:dxaOrig="2799" w:dyaOrig="660" w14:anchorId="55EEF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9pt;height:33pt" o:ole="">
            <v:imagedata r:id="rId8" o:title=""/>
          </v:shape>
          <o:OLEObject Type="Embed" ProgID="Equation.3" ShapeID="_x0000_i1025" DrawAspect="Content" ObjectID="_1800861516" r:id="rId9"/>
        </w:object>
      </w:r>
      <w:r w:rsidRPr="005B5AB4">
        <w:rPr>
          <w:i/>
          <w:sz w:val="22"/>
          <w:szCs w:val="20"/>
          <w:lang w:val="ms-MY"/>
        </w:rPr>
        <w:tab/>
      </w:r>
      <w:r w:rsidRPr="005B5AB4">
        <w:rPr>
          <w:iCs/>
          <w:sz w:val="22"/>
          <w:szCs w:val="20"/>
          <w:lang w:val="ms-MY"/>
        </w:rPr>
        <w:t>(1)</w:t>
      </w:r>
      <w:r w:rsidRPr="005B5AB4">
        <w:rPr>
          <w:sz w:val="22"/>
          <w:szCs w:val="20"/>
          <w:lang w:val="ms-MY"/>
        </w:rPr>
        <w:t xml:space="preserve">  </w:t>
      </w:r>
    </w:p>
    <w:p w14:paraId="2376D2B0" w14:textId="77777777" w:rsidR="002619BF" w:rsidRPr="005B5AB4" w:rsidRDefault="002619BF">
      <w:pPr>
        <w:pStyle w:val="TextIndent"/>
      </w:pPr>
      <w:r w:rsidRPr="005B5AB4">
        <w:t xml:space="preserve">        </w:t>
      </w:r>
    </w:p>
    <w:p w14:paraId="207D7924" w14:textId="77777777" w:rsidR="002619BF" w:rsidRPr="005B5AB4" w:rsidRDefault="002619BF">
      <w:pPr>
        <w:pStyle w:val="TextIndent"/>
      </w:pPr>
      <w:r w:rsidRPr="005B5AB4">
        <w:lastRenderedPageBreak/>
        <w:t>Equations should be referred to in abbreviated form, e.g. “Eq. (1)”. In multiple-line equations, the number should be given on the last line.</w:t>
      </w:r>
    </w:p>
    <w:p w14:paraId="089D0D55" w14:textId="77777777" w:rsidR="002619BF" w:rsidRPr="005B5AB4" w:rsidRDefault="002619BF">
      <w:pPr>
        <w:pStyle w:val="TextIndent"/>
      </w:pPr>
      <w:r w:rsidRPr="005B5AB4">
        <w:t xml:space="preserve">Equations should be typed using an Equation Editor like </w:t>
      </w:r>
      <w:r w:rsidRPr="005B5AB4">
        <w:rPr>
          <w:i/>
          <w:iCs/>
        </w:rPr>
        <w:t xml:space="preserve">MathType </w:t>
      </w:r>
      <w:r w:rsidRPr="005B5AB4">
        <w:t xml:space="preserve">or </w:t>
      </w:r>
      <w:r w:rsidRPr="005B5AB4">
        <w:rPr>
          <w:i/>
          <w:iCs/>
        </w:rPr>
        <w:t>Microsoft Equation Editor</w:t>
      </w:r>
      <w:r w:rsidRPr="005B5AB4">
        <w:t xml:space="preserve">. Standard English letters like x are to appear as </w:t>
      </w:r>
      <w:r w:rsidRPr="005B5AB4">
        <w:rPr>
          <w:i/>
        </w:rPr>
        <w:t>x</w:t>
      </w:r>
      <w:r w:rsidRPr="005B5AB4">
        <w:t xml:space="preserve"> (italicised) in the text if they are used as mathematical symbols. Punctuation marks are used at the end of equations as if they appeared directly in the text. </w:t>
      </w:r>
    </w:p>
    <w:p w14:paraId="0C1532A6" w14:textId="77777777" w:rsidR="002619BF" w:rsidRPr="005B5AB4" w:rsidRDefault="002619BF">
      <w:pPr>
        <w:pStyle w:val="Heading1"/>
        <w:spacing w:before="360"/>
        <w:ind w:left="0" w:right="0" w:firstLine="0"/>
        <w:rPr>
          <w:sz w:val="22"/>
        </w:rPr>
      </w:pPr>
      <w:r w:rsidRPr="005B5AB4">
        <w:rPr>
          <w:sz w:val="22"/>
        </w:rPr>
        <w:t xml:space="preserve">Definitions and Theorem Environments </w:t>
      </w:r>
    </w:p>
    <w:p w14:paraId="2444C9B2" w14:textId="77777777" w:rsidR="002619BF" w:rsidRPr="005B5AB4" w:rsidRDefault="002619BF">
      <w:pPr>
        <w:pStyle w:val="Text"/>
        <w:rPr>
          <w:sz w:val="22"/>
        </w:rPr>
      </w:pPr>
      <w:r w:rsidRPr="005B5AB4">
        <w:rPr>
          <w:sz w:val="22"/>
        </w:rPr>
        <w:t>Definitions, theorems, lemmas, corollaries etc. are set on a separate paragraph, with extra 1 line space above and below. They are to be numbered consecutively within the contribution.</w:t>
      </w:r>
    </w:p>
    <w:p w14:paraId="7DFA7EC3" w14:textId="77777777" w:rsidR="002619BF" w:rsidRPr="005B5AB4" w:rsidRDefault="002619BF">
      <w:pPr>
        <w:pStyle w:val="Text"/>
        <w:rPr>
          <w:b/>
          <w:sz w:val="22"/>
        </w:rPr>
      </w:pPr>
    </w:p>
    <w:p w14:paraId="0DDDFB86" w14:textId="77777777" w:rsidR="002619BF" w:rsidRPr="005B5AB4" w:rsidRDefault="002619BF">
      <w:pPr>
        <w:pStyle w:val="Text"/>
        <w:rPr>
          <w:sz w:val="22"/>
        </w:rPr>
      </w:pPr>
      <w:r w:rsidRPr="005B5AB4">
        <w:rPr>
          <w:b/>
          <w:sz w:val="22"/>
        </w:rPr>
        <w:t>Definition 4.1.</w:t>
      </w:r>
      <w:r w:rsidRPr="005B5AB4">
        <w:rPr>
          <w:sz w:val="22"/>
        </w:rPr>
        <w:t>  Definitions are set on a separate paragraph, with extra 1 line space above and below. Definitions are not italicised but the defined term is.</w:t>
      </w:r>
    </w:p>
    <w:p w14:paraId="180700C0" w14:textId="77777777" w:rsidR="002619BF" w:rsidRPr="005B5AB4" w:rsidRDefault="002619BF">
      <w:pPr>
        <w:pStyle w:val="Text"/>
        <w:rPr>
          <w:b/>
          <w:sz w:val="22"/>
        </w:rPr>
      </w:pPr>
    </w:p>
    <w:p w14:paraId="5FB47AA6" w14:textId="77777777" w:rsidR="002619BF" w:rsidRPr="005B5AB4" w:rsidRDefault="002619BF">
      <w:pPr>
        <w:pStyle w:val="Text"/>
        <w:rPr>
          <w:i/>
          <w:iCs/>
          <w:sz w:val="22"/>
        </w:rPr>
      </w:pPr>
      <w:r w:rsidRPr="005B5AB4">
        <w:rPr>
          <w:b/>
          <w:sz w:val="22"/>
        </w:rPr>
        <w:t>Lemma 4.2.</w:t>
      </w:r>
      <w:r w:rsidRPr="005B5AB4">
        <w:rPr>
          <w:sz w:val="22"/>
        </w:rPr>
        <w:t>  </w:t>
      </w:r>
      <w:r w:rsidRPr="005B5AB4">
        <w:rPr>
          <w:i/>
          <w:iCs/>
          <w:sz w:val="22"/>
        </w:rPr>
        <w:t xml:space="preserve"> Lemmas are set on a separate paragraph</w:t>
      </w:r>
      <w:r w:rsidRPr="005B5AB4">
        <w:rPr>
          <w:sz w:val="22"/>
        </w:rPr>
        <w:t>,</w:t>
      </w:r>
      <w:r w:rsidRPr="005B5AB4">
        <w:rPr>
          <w:i/>
          <w:iCs/>
          <w:sz w:val="22"/>
        </w:rPr>
        <w:t xml:space="preserve"> with extra 1 line space above and below. They are to be numbered consecutively within the contribution and are italicised</w:t>
      </w:r>
    </w:p>
    <w:p w14:paraId="29D21549" w14:textId="77777777" w:rsidR="002619BF" w:rsidRPr="005B5AB4" w:rsidRDefault="002619BF">
      <w:pPr>
        <w:pStyle w:val="Text"/>
        <w:rPr>
          <w:b/>
          <w:sz w:val="22"/>
        </w:rPr>
      </w:pPr>
    </w:p>
    <w:p w14:paraId="7B876955" w14:textId="77777777" w:rsidR="002619BF" w:rsidRPr="005B5AB4" w:rsidRDefault="002619BF">
      <w:pPr>
        <w:pStyle w:val="Text"/>
        <w:rPr>
          <w:sz w:val="22"/>
        </w:rPr>
      </w:pPr>
      <w:r w:rsidRPr="005B5AB4">
        <w:rPr>
          <w:b/>
          <w:sz w:val="22"/>
        </w:rPr>
        <w:t>Theorem 4.3.</w:t>
      </w:r>
      <w:r w:rsidRPr="005B5AB4">
        <w:rPr>
          <w:sz w:val="22"/>
        </w:rPr>
        <w:t>  </w:t>
      </w:r>
      <w:r w:rsidRPr="005B5AB4">
        <w:rPr>
          <w:i/>
          <w:iCs/>
          <w:sz w:val="22"/>
        </w:rPr>
        <w:t>Theorems are set on a separate paragraph</w:t>
      </w:r>
      <w:r w:rsidRPr="005B5AB4">
        <w:rPr>
          <w:sz w:val="22"/>
        </w:rPr>
        <w:t>,</w:t>
      </w:r>
      <w:r w:rsidRPr="005B5AB4">
        <w:rPr>
          <w:i/>
          <w:iCs/>
          <w:sz w:val="22"/>
        </w:rPr>
        <w:t xml:space="preserve"> with extra 1 line space above and below. They are to be numbered consecutively within the contribution and are italicised</w:t>
      </w:r>
    </w:p>
    <w:p w14:paraId="14E0DD97" w14:textId="77777777" w:rsidR="002619BF" w:rsidRPr="005B5AB4" w:rsidRDefault="002619BF">
      <w:pPr>
        <w:pStyle w:val="Text"/>
        <w:rPr>
          <w:b/>
          <w:sz w:val="22"/>
        </w:rPr>
      </w:pPr>
    </w:p>
    <w:p w14:paraId="11A19923" w14:textId="77777777" w:rsidR="002619BF" w:rsidRPr="005B5AB4" w:rsidRDefault="002619BF">
      <w:pPr>
        <w:pStyle w:val="Text"/>
        <w:rPr>
          <w:sz w:val="22"/>
        </w:rPr>
      </w:pPr>
      <w:r w:rsidRPr="005B5AB4">
        <w:rPr>
          <w:b/>
          <w:sz w:val="22"/>
        </w:rPr>
        <w:t>Proof.</w:t>
      </w:r>
      <w:r w:rsidRPr="005B5AB4">
        <w:rPr>
          <w:sz w:val="22"/>
        </w:rPr>
        <w:t>  Proofs should end with ‘</w:t>
      </w:r>
      <w:r w:rsidRPr="005B5AB4">
        <w:rPr>
          <w:sz w:val="22"/>
        </w:rPr>
        <w:sym w:font="Symbol" w:char="F098"/>
      </w:r>
      <w:r w:rsidR="00642CD7" w:rsidRPr="005B5AB4">
        <w:rPr>
          <w:sz w:val="22"/>
        </w:rPr>
        <w:t xml:space="preserve">’, like The proof is complete. </w:t>
      </w:r>
      <w:r w:rsidR="00642CD7" w:rsidRPr="005B5AB4">
        <w:rPr>
          <w:sz w:val="22"/>
        </w:rPr>
        <w:sym w:font="Symbol" w:char="F098"/>
      </w:r>
    </w:p>
    <w:p w14:paraId="7F7C9ECA" w14:textId="77777777" w:rsidR="002619BF" w:rsidRPr="005B5AB4" w:rsidRDefault="002619BF" w:rsidP="005B5AB4">
      <w:pPr>
        <w:pStyle w:val="Text"/>
        <w:spacing w:before="360" w:after="120" w:line="240" w:lineRule="auto"/>
        <w:rPr>
          <w:b/>
          <w:bCs/>
          <w:sz w:val="24"/>
        </w:rPr>
      </w:pPr>
      <w:r w:rsidRPr="005B5AB4">
        <w:rPr>
          <w:b/>
          <w:bCs/>
          <w:sz w:val="24"/>
        </w:rPr>
        <w:t xml:space="preserve">5. Illustrations and Photographs </w:t>
      </w:r>
    </w:p>
    <w:p w14:paraId="6AE4ABBC" w14:textId="77777777" w:rsidR="002619BF" w:rsidRPr="005B5AB4" w:rsidRDefault="002619BF">
      <w:pPr>
        <w:pStyle w:val="Text"/>
        <w:rPr>
          <w:sz w:val="22"/>
        </w:rPr>
      </w:pPr>
      <w:r w:rsidRPr="005B5AB4">
        <w:rPr>
          <w:sz w:val="22"/>
        </w:rPr>
        <w:t>Figures are to be inserted in the text nearest their first reference. Figure placements can be either on top or bottom. Original drawings of glossy prints are preferred. Please send one set of originals with copies. If the author requires the publisher to reduce the figures, ensure that the figures (including letterings and numbers) are large enough to be clearly seen after reduction. If photographs are to be used, black and white ones are preferred.</w:t>
      </w:r>
    </w:p>
    <w:p w14:paraId="619D2AFB" w14:textId="77777777" w:rsidR="002619BF" w:rsidRPr="005B5AB4" w:rsidRDefault="002619BF">
      <w:pPr>
        <w:pStyle w:val="TextIndent"/>
      </w:pPr>
      <w:r w:rsidRPr="005B5AB4">
        <w:t xml:space="preserve">Figures are to be sequentially numbered in Arabic numerals. The caption must be placed below the figure. </w:t>
      </w:r>
      <w:r w:rsidRPr="005B5AB4">
        <w:rPr>
          <w:i/>
          <w:iCs/>
        </w:rPr>
        <w:t>Typeset</w:t>
      </w:r>
      <w:r w:rsidRPr="005B5AB4">
        <w:t xml:space="preserve"> caption in 9 pt Times Roman with </w:t>
      </w:r>
      <w:r w:rsidR="00C55894" w:rsidRPr="005B5AB4">
        <w:t>single spacing</w:t>
      </w:r>
      <w:r w:rsidRPr="005B5AB4">
        <w:t xml:space="preserve">. Long captions are to be justified by the “page-width”'. Use </w:t>
      </w:r>
      <w:r w:rsidRPr="005B5AB4">
        <w:rPr>
          <w:i/>
          <w:iCs/>
        </w:rPr>
        <w:t>double spacing</w:t>
      </w:r>
      <w:r w:rsidRPr="005B5AB4">
        <w:t xml:space="preserve"> between a caption and th</w:t>
      </w:r>
      <w:r w:rsidR="00C55894" w:rsidRPr="005B5AB4">
        <w:t>e text that follows immediately.</w:t>
      </w:r>
      <w:r w:rsidRPr="005B5AB4">
        <w:t xml:space="preserve"> </w:t>
      </w:r>
      <w:r w:rsidR="00C55894" w:rsidRPr="005B5AB4">
        <w:t xml:space="preserve">For an example, see </w:t>
      </w:r>
      <w:r w:rsidRPr="005B5AB4">
        <w:t>Figure 1.</w:t>
      </w:r>
    </w:p>
    <w:p w14:paraId="6586B75F" w14:textId="77777777" w:rsidR="002619BF" w:rsidRPr="005B5AB4" w:rsidRDefault="002619BF">
      <w:pPr>
        <w:pStyle w:val="TextIndent"/>
      </w:pPr>
      <w:r w:rsidRPr="005B5AB4">
        <w:t>Previously published material must be accompanied by written permission from the author and publisher.</w:t>
      </w:r>
    </w:p>
    <w:p w14:paraId="7C35AFB1" w14:textId="77777777" w:rsidR="002619BF" w:rsidRPr="005B5AB4" w:rsidRDefault="002619BF">
      <w:pPr>
        <w:pStyle w:val="TextIndent"/>
      </w:pPr>
    </w:p>
    <w:p w14:paraId="32A226FE" w14:textId="77777777" w:rsidR="002619BF" w:rsidRPr="005B5AB4" w:rsidRDefault="002619BF">
      <w:pPr>
        <w:pStyle w:val="TextIndent"/>
      </w:pPr>
    </w:p>
    <w:p w14:paraId="11BEA456" w14:textId="77777777" w:rsidR="002619BF" w:rsidRPr="005B5AB4" w:rsidRDefault="002619BF">
      <w:pPr>
        <w:pStyle w:val="TextIndent"/>
      </w:pPr>
    </w:p>
    <w:p w14:paraId="59B32459" w14:textId="77777777" w:rsidR="002619BF" w:rsidRPr="005B5AB4" w:rsidRDefault="002619BF">
      <w:pPr>
        <w:pStyle w:val="TextIndent"/>
      </w:pPr>
    </w:p>
    <w:p w14:paraId="48865182" w14:textId="77777777" w:rsidR="002619BF" w:rsidRPr="005B5AB4" w:rsidRDefault="002619BF">
      <w:pPr>
        <w:pStyle w:val="TextIndent"/>
      </w:pPr>
      <w:r w:rsidRPr="005B5AB4">
        <w:rPr>
          <w:noProof/>
        </w:rPr>
        <w:lastRenderedPageBreak/>
        <w:pict w14:anchorId="60AE2659">
          <v:shape id="_x0000_s2091" type="#_x0000_t75" style="position:absolute;left:0;text-align:left;margin-left:79.75pt;margin-top:1.2pt;width:192.5pt;height:173pt;z-index:1">
            <v:imagedata r:id="rId10" o:title=""/>
            <w10:wrap type="topAndBottom"/>
          </v:shape>
        </w:pict>
      </w:r>
    </w:p>
    <w:p w14:paraId="63F1C6A2" w14:textId="77777777" w:rsidR="002619BF" w:rsidRPr="005B5AB4" w:rsidRDefault="002619BF">
      <w:pPr>
        <w:pStyle w:val="TextIndent"/>
      </w:pPr>
    </w:p>
    <w:p w14:paraId="4D5E2FF5" w14:textId="77777777" w:rsidR="002619BF" w:rsidRPr="005B5AB4" w:rsidRDefault="002619BF">
      <w:pPr>
        <w:ind w:left="720" w:hanging="720"/>
        <w:jc w:val="center"/>
        <w:rPr>
          <w:color w:val="000000"/>
          <w:sz w:val="18"/>
          <w:szCs w:val="18"/>
        </w:rPr>
      </w:pPr>
      <w:r w:rsidRPr="005B5AB4">
        <w:rPr>
          <w:sz w:val="18"/>
          <w:szCs w:val="18"/>
        </w:rPr>
        <w:t xml:space="preserve">Figure 1: </w:t>
      </w:r>
      <w:r w:rsidRPr="005B5AB4">
        <w:rPr>
          <w:color w:val="000000"/>
          <w:sz w:val="18"/>
          <w:szCs w:val="18"/>
        </w:rPr>
        <w:t>Benchmarking in relation to change programs (Cook 1997; Codling 1996)</w:t>
      </w:r>
    </w:p>
    <w:p w14:paraId="3162B48E" w14:textId="77777777" w:rsidR="002619BF" w:rsidRPr="005B5AB4" w:rsidRDefault="002619BF">
      <w:pPr>
        <w:pStyle w:val="TableCaption"/>
      </w:pPr>
    </w:p>
    <w:p w14:paraId="32B56A4D" w14:textId="77777777" w:rsidR="002619BF" w:rsidRPr="005B5AB4" w:rsidRDefault="002619BF">
      <w:pPr>
        <w:pStyle w:val="Heading1"/>
        <w:numPr>
          <w:ilvl w:val="0"/>
          <w:numId w:val="0"/>
        </w:numPr>
        <w:rPr>
          <w:sz w:val="22"/>
        </w:rPr>
      </w:pPr>
      <w:r w:rsidRPr="005B5AB4">
        <w:rPr>
          <w:sz w:val="22"/>
        </w:rPr>
        <w:t xml:space="preserve">6. Tables </w:t>
      </w:r>
    </w:p>
    <w:p w14:paraId="74BBE715" w14:textId="77777777" w:rsidR="002619BF" w:rsidRPr="005B5AB4" w:rsidRDefault="002619BF">
      <w:pPr>
        <w:pStyle w:val="Text"/>
        <w:rPr>
          <w:sz w:val="22"/>
        </w:rPr>
      </w:pPr>
      <w:r w:rsidRPr="005B5AB4">
        <w:rPr>
          <w:sz w:val="22"/>
        </w:rPr>
        <w:t xml:space="preserve">Tables should be inserted in the text as close to the point of reference as possible. Use </w:t>
      </w:r>
      <w:r w:rsidRPr="005B5AB4">
        <w:rPr>
          <w:i/>
          <w:iCs/>
          <w:sz w:val="22"/>
        </w:rPr>
        <w:t>double spacing</w:t>
      </w:r>
      <w:r w:rsidRPr="005B5AB4">
        <w:rPr>
          <w:sz w:val="22"/>
        </w:rPr>
        <w:t xml:space="preserve"> before and after the table and main text, e.g.  Table 1.</w:t>
      </w:r>
    </w:p>
    <w:p w14:paraId="679D0C09" w14:textId="77777777" w:rsidR="002619BF" w:rsidRPr="005B5AB4" w:rsidRDefault="002619BF">
      <w:pPr>
        <w:pStyle w:val="TextIndent"/>
      </w:pPr>
      <w:r w:rsidRPr="005B5AB4">
        <w:t xml:space="preserve">Tables should be numbered sequentially in the text using Arabic numerals. Captions are to be centralised above the tables. </w:t>
      </w:r>
      <w:r w:rsidRPr="005B5AB4">
        <w:rPr>
          <w:i/>
          <w:iCs/>
        </w:rPr>
        <w:t>Typeset</w:t>
      </w:r>
      <w:r w:rsidRPr="005B5AB4">
        <w:rPr>
          <w:b/>
          <w:bCs/>
        </w:rPr>
        <w:t xml:space="preserve"> </w:t>
      </w:r>
      <w:r w:rsidRPr="005B5AB4">
        <w:t xml:space="preserve">tables and captions in 9 pt Times Roman with </w:t>
      </w:r>
      <w:r w:rsidR="00C55894" w:rsidRPr="005B5AB4">
        <w:t>single spacing</w:t>
      </w:r>
      <w:r w:rsidRPr="005B5AB4">
        <w:t>. Long captions are to be justified by the “table-width”.</w:t>
      </w:r>
    </w:p>
    <w:p w14:paraId="0EE39568" w14:textId="77777777" w:rsidR="002619BF" w:rsidRPr="005B5AB4" w:rsidRDefault="002619BF">
      <w:pPr>
        <w:pStyle w:val="TextIndent"/>
      </w:pPr>
      <w:r w:rsidRPr="005B5AB4">
        <w:t>If tables need to extend over to a second page, the continuation of the table should be preceded by a caption, e.g., “</w:t>
      </w:r>
      <w:r w:rsidRPr="005B5AB4">
        <w:rPr>
          <w:i/>
        </w:rPr>
        <w:t xml:space="preserve">Table 1 </w:t>
      </w:r>
      <w:r w:rsidRPr="005B5AB4">
        <w:t>(</w:t>
      </w:r>
      <w:r w:rsidRPr="005B5AB4">
        <w:rPr>
          <w:i/>
        </w:rPr>
        <w:t>Continued</w:t>
      </w:r>
      <w:r w:rsidRPr="005B5AB4">
        <w:t>)”. Notes to tables are placed below the final row of the table and should be flush left. Footnotes in tables should be indicated by superscript lowercase letters and placed beneath the table.</w:t>
      </w:r>
    </w:p>
    <w:p w14:paraId="4BE76BFB" w14:textId="77777777" w:rsidR="002619BF" w:rsidRPr="005B5AB4" w:rsidRDefault="002619BF">
      <w:pPr>
        <w:pStyle w:val="Text"/>
        <w:rPr>
          <w:sz w:val="22"/>
        </w:rPr>
      </w:pPr>
    </w:p>
    <w:p w14:paraId="082654AD" w14:textId="77777777" w:rsidR="002619BF" w:rsidRPr="005B5AB4" w:rsidRDefault="002619BF">
      <w:pPr>
        <w:pStyle w:val="Text"/>
        <w:spacing w:before="240" w:after="120"/>
        <w:jc w:val="center"/>
        <w:rPr>
          <w:sz w:val="18"/>
        </w:rPr>
      </w:pPr>
      <w:r w:rsidRPr="005B5AB4">
        <w:rPr>
          <w:sz w:val="18"/>
        </w:rPr>
        <w:t>Table 1:  Measurement of the SEM model</w:t>
      </w:r>
    </w:p>
    <w:tbl>
      <w:tblPr>
        <w:tblW w:w="0" w:type="auto"/>
        <w:tblInd w:w="468" w:type="dxa"/>
        <w:tblLayout w:type="fixed"/>
        <w:tblLook w:val="0000" w:firstRow="0" w:lastRow="0" w:firstColumn="0" w:lastColumn="0" w:noHBand="0" w:noVBand="0"/>
      </w:tblPr>
      <w:tblGrid>
        <w:gridCol w:w="3240"/>
        <w:gridCol w:w="1080"/>
        <w:gridCol w:w="1170"/>
        <w:gridCol w:w="1080"/>
        <w:gridCol w:w="1260"/>
      </w:tblGrid>
      <w:tr w:rsidR="002619BF" w:rsidRPr="005B5AB4" w14:paraId="524CA5C8" w14:textId="77777777">
        <w:tblPrEx>
          <w:tblCellMar>
            <w:top w:w="0" w:type="dxa"/>
            <w:bottom w:w="0" w:type="dxa"/>
          </w:tblCellMar>
        </w:tblPrEx>
        <w:tc>
          <w:tcPr>
            <w:tcW w:w="3240" w:type="dxa"/>
            <w:tcBorders>
              <w:top w:val="single" w:sz="6" w:space="0" w:color="auto"/>
              <w:left w:val="nil"/>
              <w:bottom w:val="single" w:sz="4" w:space="0" w:color="auto"/>
              <w:right w:val="nil"/>
            </w:tcBorders>
          </w:tcPr>
          <w:p w14:paraId="418B382E" w14:textId="77777777" w:rsidR="002619BF" w:rsidRPr="005B5AB4" w:rsidRDefault="002619BF">
            <w:pPr>
              <w:rPr>
                <w:sz w:val="18"/>
              </w:rPr>
            </w:pPr>
          </w:p>
        </w:tc>
        <w:tc>
          <w:tcPr>
            <w:tcW w:w="1080" w:type="dxa"/>
            <w:tcBorders>
              <w:top w:val="single" w:sz="6" w:space="0" w:color="auto"/>
              <w:left w:val="nil"/>
              <w:bottom w:val="single" w:sz="4" w:space="0" w:color="auto"/>
              <w:right w:val="nil"/>
            </w:tcBorders>
          </w:tcPr>
          <w:p w14:paraId="14F7138E" w14:textId="77777777" w:rsidR="002619BF" w:rsidRPr="005B5AB4" w:rsidRDefault="002619BF">
            <w:pPr>
              <w:jc w:val="center"/>
              <w:rPr>
                <w:sz w:val="18"/>
              </w:rPr>
            </w:pPr>
            <w:r w:rsidRPr="005B5AB4">
              <w:rPr>
                <w:sz w:val="18"/>
              </w:rPr>
              <w:t>Std.</w:t>
            </w:r>
          </w:p>
          <w:p w14:paraId="65B5F611" w14:textId="77777777" w:rsidR="002619BF" w:rsidRPr="005B5AB4" w:rsidRDefault="002619BF">
            <w:pPr>
              <w:jc w:val="center"/>
              <w:rPr>
                <w:sz w:val="18"/>
              </w:rPr>
            </w:pPr>
            <w:r w:rsidRPr="005B5AB4">
              <w:rPr>
                <w:sz w:val="18"/>
              </w:rPr>
              <w:t>Loadings</w:t>
            </w:r>
          </w:p>
        </w:tc>
        <w:tc>
          <w:tcPr>
            <w:tcW w:w="1170" w:type="dxa"/>
            <w:tcBorders>
              <w:top w:val="single" w:sz="6" w:space="0" w:color="auto"/>
              <w:left w:val="nil"/>
              <w:bottom w:val="single" w:sz="4" w:space="0" w:color="auto"/>
              <w:right w:val="nil"/>
            </w:tcBorders>
          </w:tcPr>
          <w:p w14:paraId="10ADCEF5" w14:textId="77777777" w:rsidR="002619BF" w:rsidRPr="005B5AB4" w:rsidRDefault="002619BF">
            <w:pPr>
              <w:jc w:val="center"/>
              <w:rPr>
                <w:sz w:val="18"/>
              </w:rPr>
            </w:pPr>
            <w:r w:rsidRPr="005B5AB4">
              <w:rPr>
                <w:sz w:val="18"/>
              </w:rPr>
              <w:t>Standard</w:t>
            </w:r>
          </w:p>
          <w:p w14:paraId="76E94C3E" w14:textId="77777777" w:rsidR="002619BF" w:rsidRPr="005B5AB4" w:rsidRDefault="002619BF">
            <w:pPr>
              <w:jc w:val="center"/>
              <w:rPr>
                <w:sz w:val="18"/>
              </w:rPr>
            </w:pPr>
            <w:r w:rsidRPr="005B5AB4">
              <w:rPr>
                <w:sz w:val="18"/>
              </w:rPr>
              <w:t>Errors</w:t>
            </w:r>
          </w:p>
        </w:tc>
        <w:tc>
          <w:tcPr>
            <w:tcW w:w="1080" w:type="dxa"/>
            <w:tcBorders>
              <w:top w:val="single" w:sz="6" w:space="0" w:color="auto"/>
              <w:left w:val="nil"/>
              <w:bottom w:val="single" w:sz="4" w:space="0" w:color="auto"/>
              <w:right w:val="nil"/>
            </w:tcBorders>
          </w:tcPr>
          <w:p w14:paraId="6F1ECC0C" w14:textId="77777777" w:rsidR="002619BF" w:rsidRPr="005B5AB4" w:rsidRDefault="002619BF">
            <w:pPr>
              <w:jc w:val="center"/>
              <w:rPr>
                <w:color w:val="000000"/>
                <w:sz w:val="18"/>
                <w:lang w:val="fr-FR"/>
              </w:rPr>
            </w:pPr>
            <w:r w:rsidRPr="005B5AB4">
              <w:rPr>
                <w:color w:val="000000"/>
                <w:sz w:val="18"/>
                <w:lang w:val="fr-FR"/>
              </w:rPr>
              <w:t>Critical Ratio</w:t>
            </w:r>
          </w:p>
        </w:tc>
        <w:tc>
          <w:tcPr>
            <w:tcW w:w="1260" w:type="dxa"/>
            <w:tcBorders>
              <w:top w:val="single" w:sz="6" w:space="0" w:color="auto"/>
              <w:left w:val="nil"/>
              <w:bottom w:val="single" w:sz="4" w:space="0" w:color="auto"/>
              <w:right w:val="nil"/>
            </w:tcBorders>
          </w:tcPr>
          <w:p w14:paraId="0B86ED5C" w14:textId="77777777" w:rsidR="002619BF" w:rsidRPr="005B5AB4" w:rsidRDefault="002619BF">
            <w:pPr>
              <w:jc w:val="center"/>
              <w:rPr>
                <w:color w:val="000000"/>
                <w:sz w:val="18"/>
                <w:lang w:val="fr-FR"/>
              </w:rPr>
            </w:pPr>
            <w:proofErr w:type="spellStart"/>
            <w:r w:rsidRPr="005B5AB4">
              <w:rPr>
                <w:color w:val="000000"/>
                <w:sz w:val="18"/>
                <w:lang w:val="fr-FR"/>
              </w:rPr>
              <w:t>Probability</w:t>
            </w:r>
            <w:proofErr w:type="spellEnd"/>
          </w:p>
        </w:tc>
      </w:tr>
      <w:tr w:rsidR="002619BF" w:rsidRPr="005B5AB4" w14:paraId="04C5AC75" w14:textId="77777777">
        <w:tblPrEx>
          <w:tblCellMar>
            <w:top w:w="0" w:type="dxa"/>
            <w:bottom w:w="0" w:type="dxa"/>
          </w:tblCellMar>
        </w:tblPrEx>
        <w:tc>
          <w:tcPr>
            <w:tcW w:w="3240" w:type="dxa"/>
            <w:tcBorders>
              <w:top w:val="single" w:sz="4" w:space="0" w:color="auto"/>
              <w:left w:val="nil"/>
              <w:right w:val="nil"/>
            </w:tcBorders>
          </w:tcPr>
          <w:p w14:paraId="6180CECF" w14:textId="77777777" w:rsidR="002619BF" w:rsidRPr="005B5AB4" w:rsidRDefault="002619BF">
            <w:pPr>
              <w:rPr>
                <w:sz w:val="18"/>
              </w:rPr>
            </w:pPr>
            <w:r w:rsidRPr="005B5AB4">
              <w:rPr>
                <w:sz w:val="18"/>
              </w:rPr>
              <w:t>(</w:t>
            </w:r>
            <w:proofErr w:type="spellStart"/>
            <w:r w:rsidRPr="005B5AB4">
              <w:rPr>
                <w:sz w:val="18"/>
              </w:rPr>
              <w:t>i</w:t>
            </w:r>
            <w:proofErr w:type="spellEnd"/>
            <w:r w:rsidRPr="005B5AB4">
              <w:rPr>
                <w:sz w:val="18"/>
              </w:rPr>
              <w:t>) Constructs and Indicators</w:t>
            </w:r>
          </w:p>
        </w:tc>
        <w:tc>
          <w:tcPr>
            <w:tcW w:w="1080" w:type="dxa"/>
            <w:tcBorders>
              <w:top w:val="single" w:sz="4" w:space="0" w:color="auto"/>
              <w:left w:val="nil"/>
              <w:right w:val="nil"/>
            </w:tcBorders>
          </w:tcPr>
          <w:p w14:paraId="258ABD48" w14:textId="77777777" w:rsidR="002619BF" w:rsidRPr="005B5AB4" w:rsidRDefault="002619BF">
            <w:pPr>
              <w:jc w:val="center"/>
              <w:rPr>
                <w:sz w:val="18"/>
              </w:rPr>
            </w:pPr>
          </w:p>
        </w:tc>
        <w:tc>
          <w:tcPr>
            <w:tcW w:w="1170" w:type="dxa"/>
            <w:tcBorders>
              <w:top w:val="single" w:sz="4" w:space="0" w:color="auto"/>
              <w:left w:val="nil"/>
              <w:right w:val="nil"/>
            </w:tcBorders>
          </w:tcPr>
          <w:p w14:paraId="568C4414" w14:textId="77777777" w:rsidR="002619BF" w:rsidRPr="005B5AB4" w:rsidRDefault="002619BF">
            <w:pPr>
              <w:jc w:val="center"/>
              <w:rPr>
                <w:sz w:val="18"/>
              </w:rPr>
            </w:pPr>
          </w:p>
        </w:tc>
        <w:tc>
          <w:tcPr>
            <w:tcW w:w="1080" w:type="dxa"/>
            <w:tcBorders>
              <w:top w:val="single" w:sz="4" w:space="0" w:color="auto"/>
              <w:left w:val="nil"/>
              <w:right w:val="nil"/>
            </w:tcBorders>
          </w:tcPr>
          <w:p w14:paraId="5E1C93B2" w14:textId="77777777" w:rsidR="002619BF" w:rsidRPr="005B5AB4" w:rsidRDefault="002619BF">
            <w:pPr>
              <w:jc w:val="center"/>
              <w:rPr>
                <w:color w:val="000000"/>
                <w:sz w:val="18"/>
                <w:lang w:val="fr-FR"/>
              </w:rPr>
            </w:pPr>
          </w:p>
        </w:tc>
        <w:tc>
          <w:tcPr>
            <w:tcW w:w="1260" w:type="dxa"/>
            <w:tcBorders>
              <w:top w:val="single" w:sz="4" w:space="0" w:color="auto"/>
              <w:left w:val="nil"/>
              <w:right w:val="nil"/>
            </w:tcBorders>
          </w:tcPr>
          <w:p w14:paraId="095B0B1A" w14:textId="77777777" w:rsidR="002619BF" w:rsidRPr="005B5AB4" w:rsidRDefault="002619BF">
            <w:pPr>
              <w:jc w:val="center"/>
              <w:rPr>
                <w:color w:val="000000"/>
                <w:sz w:val="18"/>
                <w:lang w:val="fr-FR"/>
              </w:rPr>
            </w:pPr>
          </w:p>
        </w:tc>
      </w:tr>
      <w:tr w:rsidR="002619BF" w:rsidRPr="005B5AB4" w14:paraId="44ED1C65" w14:textId="77777777">
        <w:tblPrEx>
          <w:tblCellMar>
            <w:top w:w="0" w:type="dxa"/>
            <w:bottom w:w="0" w:type="dxa"/>
          </w:tblCellMar>
        </w:tblPrEx>
        <w:tc>
          <w:tcPr>
            <w:tcW w:w="3240" w:type="dxa"/>
            <w:tcBorders>
              <w:left w:val="nil"/>
              <w:bottom w:val="nil"/>
              <w:right w:val="nil"/>
            </w:tcBorders>
          </w:tcPr>
          <w:p w14:paraId="2E75A6F9" w14:textId="77777777" w:rsidR="002619BF" w:rsidRPr="005B5AB4" w:rsidRDefault="002619BF">
            <w:pPr>
              <w:ind w:left="252" w:hanging="252"/>
              <w:rPr>
                <w:sz w:val="18"/>
              </w:rPr>
            </w:pPr>
            <w:r w:rsidRPr="005B5AB4">
              <w:rPr>
                <w:sz w:val="18"/>
              </w:rPr>
              <w:t>a. TQM</w:t>
            </w:r>
          </w:p>
        </w:tc>
        <w:tc>
          <w:tcPr>
            <w:tcW w:w="1080" w:type="dxa"/>
            <w:tcBorders>
              <w:left w:val="nil"/>
              <w:bottom w:val="nil"/>
              <w:right w:val="nil"/>
            </w:tcBorders>
          </w:tcPr>
          <w:p w14:paraId="72936736" w14:textId="77777777" w:rsidR="002619BF" w:rsidRPr="005B5AB4" w:rsidRDefault="002619BF">
            <w:pPr>
              <w:jc w:val="center"/>
              <w:rPr>
                <w:sz w:val="18"/>
              </w:rPr>
            </w:pPr>
          </w:p>
        </w:tc>
        <w:tc>
          <w:tcPr>
            <w:tcW w:w="1170" w:type="dxa"/>
            <w:tcBorders>
              <w:left w:val="nil"/>
              <w:bottom w:val="nil"/>
              <w:right w:val="nil"/>
            </w:tcBorders>
          </w:tcPr>
          <w:p w14:paraId="1BEB6AC5" w14:textId="77777777" w:rsidR="002619BF" w:rsidRPr="005B5AB4" w:rsidRDefault="002619BF">
            <w:pPr>
              <w:jc w:val="center"/>
              <w:rPr>
                <w:sz w:val="18"/>
              </w:rPr>
            </w:pPr>
          </w:p>
        </w:tc>
        <w:tc>
          <w:tcPr>
            <w:tcW w:w="1080" w:type="dxa"/>
            <w:tcBorders>
              <w:left w:val="nil"/>
              <w:bottom w:val="nil"/>
              <w:right w:val="nil"/>
            </w:tcBorders>
          </w:tcPr>
          <w:p w14:paraId="316BCDA0" w14:textId="77777777" w:rsidR="002619BF" w:rsidRPr="005B5AB4" w:rsidRDefault="002619BF">
            <w:pPr>
              <w:jc w:val="center"/>
              <w:rPr>
                <w:sz w:val="18"/>
              </w:rPr>
            </w:pPr>
          </w:p>
        </w:tc>
        <w:tc>
          <w:tcPr>
            <w:tcW w:w="1260" w:type="dxa"/>
            <w:tcBorders>
              <w:left w:val="nil"/>
              <w:bottom w:val="nil"/>
              <w:right w:val="nil"/>
            </w:tcBorders>
          </w:tcPr>
          <w:p w14:paraId="0FBC4699" w14:textId="77777777" w:rsidR="002619BF" w:rsidRPr="005B5AB4" w:rsidRDefault="002619BF">
            <w:pPr>
              <w:jc w:val="center"/>
              <w:rPr>
                <w:sz w:val="18"/>
              </w:rPr>
            </w:pPr>
          </w:p>
        </w:tc>
      </w:tr>
      <w:tr w:rsidR="002619BF" w:rsidRPr="005B5AB4" w14:paraId="5E6E4C34" w14:textId="77777777">
        <w:tblPrEx>
          <w:tblCellMar>
            <w:top w:w="0" w:type="dxa"/>
            <w:bottom w:w="0" w:type="dxa"/>
          </w:tblCellMar>
        </w:tblPrEx>
        <w:tc>
          <w:tcPr>
            <w:tcW w:w="3240" w:type="dxa"/>
            <w:tcBorders>
              <w:top w:val="nil"/>
              <w:left w:val="nil"/>
              <w:bottom w:val="nil"/>
              <w:right w:val="nil"/>
            </w:tcBorders>
          </w:tcPr>
          <w:p w14:paraId="57672D1A" w14:textId="77777777" w:rsidR="002619BF" w:rsidRPr="005B5AB4" w:rsidRDefault="002619BF">
            <w:pPr>
              <w:ind w:left="252" w:hanging="252"/>
              <w:rPr>
                <w:sz w:val="18"/>
              </w:rPr>
            </w:pPr>
            <w:r w:rsidRPr="005B5AB4">
              <w:rPr>
                <w:sz w:val="18"/>
              </w:rPr>
              <w:t xml:space="preserve">    Top management commitment</w:t>
            </w:r>
          </w:p>
        </w:tc>
        <w:tc>
          <w:tcPr>
            <w:tcW w:w="1080" w:type="dxa"/>
            <w:tcBorders>
              <w:top w:val="nil"/>
              <w:left w:val="nil"/>
              <w:bottom w:val="nil"/>
              <w:right w:val="nil"/>
            </w:tcBorders>
          </w:tcPr>
          <w:p w14:paraId="2C3A1331" w14:textId="77777777" w:rsidR="002619BF" w:rsidRPr="005B5AB4" w:rsidRDefault="002619BF">
            <w:pPr>
              <w:jc w:val="center"/>
              <w:rPr>
                <w:sz w:val="18"/>
              </w:rPr>
            </w:pPr>
            <w:r w:rsidRPr="005B5AB4">
              <w:rPr>
                <w:sz w:val="18"/>
              </w:rPr>
              <w:t>0.416</w:t>
            </w:r>
          </w:p>
        </w:tc>
        <w:tc>
          <w:tcPr>
            <w:tcW w:w="1170" w:type="dxa"/>
            <w:tcBorders>
              <w:top w:val="nil"/>
              <w:left w:val="nil"/>
              <w:bottom w:val="nil"/>
              <w:right w:val="nil"/>
            </w:tcBorders>
          </w:tcPr>
          <w:p w14:paraId="4AFF02FC" w14:textId="77777777" w:rsidR="002619BF" w:rsidRPr="005B5AB4" w:rsidRDefault="002619BF">
            <w:pPr>
              <w:jc w:val="center"/>
              <w:rPr>
                <w:sz w:val="18"/>
              </w:rPr>
            </w:pPr>
            <w:r w:rsidRPr="005B5AB4">
              <w:rPr>
                <w:sz w:val="18"/>
              </w:rPr>
              <w:t>0.097</w:t>
            </w:r>
          </w:p>
        </w:tc>
        <w:tc>
          <w:tcPr>
            <w:tcW w:w="1080" w:type="dxa"/>
            <w:tcBorders>
              <w:top w:val="nil"/>
              <w:left w:val="nil"/>
              <w:bottom w:val="nil"/>
              <w:right w:val="nil"/>
            </w:tcBorders>
          </w:tcPr>
          <w:p w14:paraId="342262A0" w14:textId="77777777" w:rsidR="002619BF" w:rsidRPr="005B5AB4" w:rsidRDefault="002619BF">
            <w:pPr>
              <w:jc w:val="center"/>
              <w:rPr>
                <w:sz w:val="18"/>
              </w:rPr>
            </w:pPr>
            <w:r w:rsidRPr="005B5AB4">
              <w:rPr>
                <w:sz w:val="18"/>
              </w:rPr>
              <w:t>8.153</w:t>
            </w:r>
          </w:p>
        </w:tc>
        <w:tc>
          <w:tcPr>
            <w:tcW w:w="1260" w:type="dxa"/>
            <w:tcBorders>
              <w:top w:val="nil"/>
              <w:left w:val="nil"/>
              <w:bottom w:val="nil"/>
              <w:right w:val="nil"/>
            </w:tcBorders>
          </w:tcPr>
          <w:p w14:paraId="262E6F3D" w14:textId="77777777" w:rsidR="002619BF" w:rsidRPr="005B5AB4" w:rsidRDefault="002619BF">
            <w:pPr>
              <w:jc w:val="center"/>
              <w:rPr>
                <w:sz w:val="18"/>
              </w:rPr>
            </w:pPr>
            <w:r w:rsidRPr="005B5AB4">
              <w:rPr>
                <w:sz w:val="18"/>
              </w:rPr>
              <w:t>0.000</w:t>
            </w:r>
          </w:p>
        </w:tc>
      </w:tr>
      <w:tr w:rsidR="002619BF" w:rsidRPr="005B5AB4" w14:paraId="5638E75C" w14:textId="77777777">
        <w:tblPrEx>
          <w:tblCellMar>
            <w:top w:w="0" w:type="dxa"/>
            <w:bottom w:w="0" w:type="dxa"/>
          </w:tblCellMar>
        </w:tblPrEx>
        <w:tc>
          <w:tcPr>
            <w:tcW w:w="3240" w:type="dxa"/>
            <w:tcBorders>
              <w:top w:val="nil"/>
              <w:left w:val="nil"/>
              <w:bottom w:val="nil"/>
              <w:right w:val="nil"/>
            </w:tcBorders>
          </w:tcPr>
          <w:p w14:paraId="486E46F3" w14:textId="77777777" w:rsidR="002619BF" w:rsidRPr="005B5AB4" w:rsidRDefault="002619BF">
            <w:pPr>
              <w:ind w:left="252" w:hanging="252"/>
              <w:rPr>
                <w:sz w:val="18"/>
              </w:rPr>
            </w:pPr>
            <w:r w:rsidRPr="005B5AB4">
              <w:rPr>
                <w:sz w:val="18"/>
              </w:rPr>
              <w:t xml:space="preserve">    Customer focus </w:t>
            </w:r>
          </w:p>
        </w:tc>
        <w:tc>
          <w:tcPr>
            <w:tcW w:w="1080" w:type="dxa"/>
            <w:tcBorders>
              <w:top w:val="nil"/>
              <w:left w:val="nil"/>
              <w:bottom w:val="nil"/>
              <w:right w:val="nil"/>
            </w:tcBorders>
          </w:tcPr>
          <w:p w14:paraId="49A4ACDF" w14:textId="77777777" w:rsidR="002619BF" w:rsidRPr="005B5AB4" w:rsidRDefault="002619BF">
            <w:pPr>
              <w:jc w:val="center"/>
              <w:rPr>
                <w:sz w:val="18"/>
              </w:rPr>
            </w:pPr>
            <w:r w:rsidRPr="005B5AB4">
              <w:rPr>
                <w:sz w:val="18"/>
              </w:rPr>
              <w:t>0.773</w:t>
            </w:r>
          </w:p>
        </w:tc>
        <w:tc>
          <w:tcPr>
            <w:tcW w:w="1170" w:type="dxa"/>
            <w:tcBorders>
              <w:top w:val="nil"/>
              <w:left w:val="nil"/>
              <w:bottom w:val="nil"/>
              <w:right w:val="nil"/>
            </w:tcBorders>
          </w:tcPr>
          <w:p w14:paraId="4D88C39F" w14:textId="77777777" w:rsidR="002619BF" w:rsidRPr="005B5AB4" w:rsidRDefault="002619BF">
            <w:pPr>
              <w:jc w:val="center"/>
              <w:rPr>
                <w:sz w:val="18"/>
              </w:rPr>
            </w:pPr>
            <w:r w:rsidRPr="005B5AB4">
              <w:rPr>
                <w:sz w:val="18"/>
              </w:rPr>
              <w:t>0.054</w:t>
            </w:r>
          </w:p>
        </w:tc>
        <w:tc>
          <w:tcPr>
            <w:tcW w:w="1080" w:type="dxa"/>
            <w:tcBorders>
              <w:top w:val="nil"/>
              <w:left w:val="nil"/>
              <w:bottom w:val="nil"/>
              <w:right w:val="nil"/>
            </w:tcBorders>
          </w:tcPr>
          <w:p w14:paraId="12C59816" w14:textId="77777777" w:rsidR="002619BF" w:rsidRPr="005B5AB4" w:rsidRDefault="002619BF">
            <w:pPr>
              <w:jc w:val="center"/>
              <w:rPr>
                <w:sz w:val="18"/>
              </w:rPr>
            </w:pPr>
            <w:r w:rsidRPr="005B5AB4">
              <w:rPr>
                <w:sz w:val="18"/>
              </w:rPr>
              <w:t>15.84</w:t>
            </w:r>
          </w:p>
        </w:tc>
        <w:tc>
          <w:tcPr>
            <w:tcW w:w="1260" w:type="dxa"/>
            <w:tcBorders>
              <w:top w:val="nil"/>
              <w:left w:val="nil"/>
              <w:bottom w:val="nil"/>
              <w:right w:val="nil"/>
            </w:tcBorders>
          </w:tcPr>
          <w:p w14:paraId="416837FE" w14:textId="77777777" w:rsidR="002619BF" w:rsidRPr="005B5AB4" w:rsidRDefault="002619BF">
            <w:pPr>
              <w:jc w:val="center"/>
              <w:rPr>
                <w:sz w:val="18"/>
              </w:rPr>
            </w:pPr>
            <w:r w:rsidRPr="005B5AB4">
              <w:rPr>
                <w:sz w:val="18"/>
              </w:rPr>
              <w:t>0.000</w:t>
            </w:r>
          </w:p>
        </w:tc>
      </w:tr>
      <w:tr w:rsidR="002619BF" w:rsidRPr="005B5AB4" w14:paraId="3E95507E" w14:textId="77777777">
        <w:tblPrEx>
          <w:tblCellMar>
            <w:top w:w="0" w:type="dxa"/>
            <w:bottom w:w="0" w:type="dxa"/>
          </w:tblCellMar>
        </w:tblPrEx>
        <w:tc>
          <w:tcPr>
            <w:tcW w:w="3240" w:type="dxa"/>
            <w:tcBorders>
              <w:top w:val="nil"/>
              <w:left w:val="nil"/>
              <w:bottom w:val="nil"/>
              <w:right w:val="nil"/>
            </w:tcBorders>
          </w:tcPr>
          <w:p w14:paraId="60109753" w14:textId="77777777" w:rsidR="002619BF" w:rsidRPr="005B5AB4" w:rsidRDefault="002619BF">
            <w:pPr>
              <w:ind w:left="252" w:hanging="252"/>
              <w:rPr>
                <w:sz w:val="18"/>
              </w:rPr>
            </w:pPr>
            <w:r w:rsidRPr="005B5AB4">
              <w:rPr>
                <w:sz w:val="18"/>
              </w:rPr>
              <w:t xml:space="preserve">    Benchmarking</w:t>
            </w:r>
          </w:p>
        </w:tc>
        <w:tc>
          <w:tcPr>
            <w:tcW w:w="1080" w:type="dxa"/>
            <w:tcBorders>
              <w:top w:val="nil"/>
              <w:left w:val="nil"/>
              <w:bottom w:val="nil"/>
              <w:right w:val="nil"/>
            </w:tcBorders>
          </w:tcPr>
          <w:p w14:paraId="778A425C" w14:textId="77777777" w:rsidR="002619BF" w:rsidRPr="005B5AB4" w:rsidRDefault="002619BF">
            <w:pPr>
              <w:jc w:val="center"/>
              <w:rPr>
                <w:sz w:val="18"/>
              </w:rPr>
            </w:pPr>
            <w:r w:rsidRPr="005B5AB4">
              <w:rPr>
                <w:sz w:val="18"/>
              </w:rPr>
              <w:t>0.586</w:t>
            </w:r>
          </w:p>
        </w:tc>
        <w:tc>
          <w:tcPr>
            <w:tcW w:w="1170" w:type="dxa"/>
            <w:tcBorders>
              <w:top w:val="nil"/>
              <w:left w:val="nil"/>
              <w:bottom w:val="nil"/>
              <w:right w:val="nil"/>
            </w:tcBorders>
          </w:tcPr>
          <w:p w14:paraId="0E20C341" w14:textId="77777777" w:rsidR="002619BF" w:rsidRPr="005B5AB4" w:rsidRDefault="002619BF">
            <w:pPr>
              <w:jc w:val="center"/>
              <w:rPr>
                <w:sz w:val="18"/>
              </w:rPr>
            </w:pPr>
            <w:r w:rsidRPr="005B5AB4">
              <w:rPr>
                <w:sz w:val="18"/>
              </w:rPr>
              <w:t>0.074</w:t>
            </w:r>
          </w:p>
        </w:tc>
        <w:tc>
          <w:tcPr>
            <w:tcW w:w="1080" w:type="dxa"/>
            <w:tcBorders>
              <w:top w:val="nil"/>
              <w:left w:val="nil"/>
              <w:bottom w:val="nil"/>
              <w:right w:val="nil"/>
            </w:tcBorders>
          </w:tcPr>
          <w:p w14:paraId="19EF4399" w14:textId="77777777" w:rsidR="002619BF" w:rsidRPr="005B5AB4" w:rsidRDefault="002619BF">
            <w:pPr>
              <w:jc w:val="center"/>
              <w:rPr>
                <w:sz w:val="18"/>
              </w:rPr>
            </w:pPr>
            <w:r w:rsidRPr="005B5AB4">
              <w:rPr>
                <w:sz w:val="18"/>
              </w:rPr>
              <w:t>11.77</w:t>
            </w:r>
          </w:p>
        </w:tc>
        <w:tc>
          <w:tcPr>
            <w:tcW w:w="1260" w:type="dxa"/>
            <w:tcBorders>
              <w:top w:val="nil"/>
              <w:left w:val="nil"/>
              <w:bottom w:val="nil"/>
              <w:right w:val="nil"/>
            </w:tcBorders>
          </w:tcPr>
          <w:p w14:paraId="0B00F3CA" w14:textId="77777777" w:rsidR="002619BF" w:rsidRPr="005B5AB4" w:rsidRDefault="002619BF">
            <w:pPr>
              <w:jc w:val="center"/>
              <w:rPr>
                <w:sz w:val="18"/>
              </w:rPr>
            </w:pPr>
            <w:r w:rsidRPr="005B5AB4">
              <w:rPr>
                <w:sz w:val="18"/>
              </w:rPr>
              <w:t>0.000</w:t>
            </w:r>
          </w:p>
        </w:tc>
      </w:tr>
      <w:tr w:rsidR="002619BF" w:rsidRPr="005B5AB4" w14:paraId="2DAEB009" w14:textId="77777777">
        <w:tblPrEx>
          <w:tblCellMar>
            <w:top w:w="0" w:type="dxa"/>
            <w:bottom w:w="0" w:type="dxa"/>
          </w:tblCellMar>
        </w:tblPrEx>
        <w:tc>
          <w:tcPr>
            <w:tcW w:w="3240" w:type="dxa"/>
            <w:tcBorders>
              <w:top w:val="nil"/>
              <w:left w:val="nil"/>
              <w:bottom w:val="nil"/>
              <w:right w:val="nil"/>
            </w:tcBorders>
          </w:tcPr>
          <w:p w14:paraId="013DCFE3" w14:textId="77777777" w:rsidR="002619BF" w:rsidRPr="005B5AB4" w:rsidRDefault="002619BF">
            <w:pPr>
              <w:ind w:left="252" w:hanging="252"/>
              <w:rPr>
                <w:sz w:val="18"/>
              </w:rPr>
            </w:pPr>
            <w:r w:rsidRPr="005B5AB4">
              <w:rPr>
                <w:sz w:val="18"/>
              </w:rPr>
              <w:t xml:space="preserve">    Training</w:t>
            </w:r>
          </w:p>
        </w:tc>
        <w:tc>
          <w:tcPr>
            <w:tcW w:w="1080" w:type="dxa"/>
            <w:tcBorders>
              <w:top w:val="nil"/>
              <w:left w:val="nil"/>
              <w:bottom w:val="nil"/>
              <w:right w:val="nil"/>
            </w:tcBorders>
          </w:tcPr>
          <w:p w14:paraId="3B5CF056" w14:textId="77777777" w:rsidR="002619BF" w:rsidRPr="005B5AB4" w:rsidRDefault="002619BF">
            <w:pPr>
              <w:jc w:val="center"/>
              <w:rPr>
                <w:sz w:val="18"/>
              </w:rPr>
            </w:pPr>
            <w:r w:rsidRPr="005B5AB4">
              <w:rPr>
                <w:sz w:val="18"/>
              </w:rPr>
              <w:t>0.800</w:t>
            </w:r>
          </w:p>
        </w:tc>
        <w:tc>
          <w:tcPr>
            <w:tcW w:w="1170" w:type="dxa"/>
            <w:tcBorders>
              <w:top w:val="nil"/>
              <w:left w:val="nil"/>
              <w:bottom w:val="nil"/>
              <w:right w:val="nil"/>
            </w:tcBorders>
          </w:tcPr>
          <w:p w14:paraId="777CE7E9" w14:textId="77777777" w:rsidR="002619BF" w:rsidRPr="005B5AB4" w:rsidRDefault="002619BF">
            <w:pPr>
              <w:jc w:val="center"/>
              <w:rPr>
                <w:sz w:val="18"/>
              </w:rPr>
            </w:pPr>
            <w:r w:rsidRPr="005B5AB4">
              <w:rPr>
                <w:sz w:val="18"/>
              </w:rPr>
              <w:t>0.074</w:t>
            </w:r>
          </w:p>
        </w:tc>
        <w:tc>
          <w:tcPr>
            <w:tcW w:w="1080" w:type="dxa"/>
            <w:tcBorders>
              <w:top w:val="nil"/>
              <w:left w:val="nil"/>
              <w:bottom w:val="nil"/>
              <w:right w:val="nil"/>
            </w:tcBorders>
          </w:tcPr>
          <w:p w14:paraId="0DD9C4B1" w14:textId="77777777" w:rsidR="002619BF" w:rsidRPr="005B5AB4" w:rsidRDefault="002619BF">
            <w:pPr>
              <w:jc w:val="center"/>
              <w:rPr>
                <w:sz w:val="18"/>
              </w:rPr>
            </w:pPr>
            <w:r w:rsidRPr="005B5AB4">
              <w:rPr>
                <w:sz w:val="18"/>
              </w:rPr>
              <w:t>15.84</w:t>
            </w:r>
          </w:p>
        </w:tc>
        <w:tc>
          <w:tcPr>
            <w:tcW w:w="1260" w:type="dxa"/>
            <w:tcBorders>
              <w:top w:val="nil"/>
              <w:left w:val="nil"/>
              <w:bottom w:val="nil"/>
              <w:right w:val="nil"/>
            </w:tcBorders>
          </w:tcPr>
          <w:p w14:paraId="765B7544" w14:textId="77777777" w:rsidR="002619BF" w:rsidRPr="005B5AB4" w:rsidRDefault="002619BF">
            <w:pPr>
              <w:jc w:val="center"/>
              <w:rPr>
                <w:sz w:val="18"/>
              </w:rPr>
            </w:pPr>
            <w:r w:rsidRPr="005B5AB4">
              <w:rPr>
                <w:sz w:val="18"/>
              </w:rPr>
              <w:t>0.000</w:t>
            </w:r>
          </w:p>
        </w:tc>
      </w:tr>
      <w:tr w:rsidR="002619BF" w:rsidRPr="005B5AB4" w14:paraId="6BBCA9DA" w14:textId="77777777">
        <w:tblPrEx>
          <w:tblCellMar>
            <w:top w:w="0" w:type="dxa"/>
            <w:bottom w:w="0" w:type="dxa"/>
          </w:tblCellMar>
        </w:tblPrEx>
        <w:tc>
          <w:tcPr>
            <w:tcW w:w="3240" w:type="dxa"/>
            <w:tcBorders>
              <w:top w:val="nil"/>
              <w:left w:val="nil"/>
              <w:bottom w:val="nil"/>
              <w:right w:val="nil"/>
            </w:tcBorders>
          </w:tcPr>
          <w:p w14:paraId="21A40657" w14:textId="77777777" w:rsidR="002619BF" w:rsidRPr="005B5AB4" w:rsidRDefault="002619BF">
            <w:pPr>
              <w:ind w:left="252" w:hanging="252"/>
              <w:rPr>
                <w:sz w:val="18"/>
              </w:rPr>
            </w:pPr>
            <w:r w:rsidRPr="005B5AB4">
              <w:rPr>
                <w:sz w:val="18"/>
              </w:rPr>
              <w:t xml:space="preserve">    Employee focus</w:t>
            </w:r>
          </w:p>
        </w:tc>
        <w:tc>
          <w:tcPr>
            <w:tcW w:w="1080" w:type="dxa"/>
            <w:tcBorders>
              <w:top w:val="nil"/>
              <w:left w:val="nil"/>
              <w:bottom w:val="nil"/>
              <w:right w:val="nil"/>
            </w:tcBorders>
          </w:tcPr>
          <w:p w14:paraId="2C93EC82" w14:textId="77777777" w:rsidR="002619BF" w:rsidRPr="005B5AB4" w:rsidRDefault="002619BF">
            <w:pPr>
              <w:jc w:val="center"/>
              <w:rPr>
                <w:sz w:val="18"/>
              </w:rPr>
            </w:pPr>
            <w:r w:rsidRPr="005B5AB4">
              <w:rPr>
                <w:sz w:val="18"/>
              </w:rPr>
              <w:t>0.805</w:t>
            </w:r>
          </w:p>
        </w:tc>
        <w:tc>
          <w:tcPr>
            <w:tcW w:w="1170" w:type="dxa"/>
            <w:tcBorders>
              <w:top w:val="nil"/>
              <w:left w:val="nil"/>
              <w:bottom w:val="nil"/>
              <w:right w:val="nil"/>
            </w:tcBorders>
          </w:tcPr>
          <w:p w14:paraId="41E4F3D8" w14:textId="77777777" w:rsidR="002619BF" w:rsidRPr="005B5AB4" w:rsidRDefault="002619BF">
            <w:pPr>
              <w:jc w:val="center"/>
              <w:rPr>
                <w:sz w:val="18"/>
              </w:rPr>
            </w:pPr>
            <w:r w:rsidRPr="005B5AB4">
              <w:rPr>
                <w:sz w:val="18"/>
              </w:rPr>
              <w:t>0.058</w:t>
            </w:r>
          </w:p>
        </w:tc>
        <w:tc>
          <w:tcPr>
            <w:tcW w:w="1080" w:type="dxa"/>
            <w:tcBorders>
              <w:top w:val="nil"/>
              <w:left w:val="nil"/>
              <w:bottom w:val="nil"/>
              <w:right w:val="nil"/>
            </w:tcBorders>
          </w:tcPr>
          <w:p w14:paraId="076B7D4A" w14:textId="77777777" w:rsidR="002619BF" w:rsidRPr="005B5AB4" w:rsidRDefault="002619BF">
            <w:pPr>
              <w:jc w:val="center"/>
              <w:rPr>
                <w:sz w:val="18"/>
              </w:rPr>
            </w:pPr>
            <w:r w:rsidRPr="005B5AB4">
              <w:rPr>
                <w:sz w:val="18"/>
              </w:rPr>
              <w:t>16.39</w:t>
            </w:r>
          </w:p>
        </w:tc>
        <w:tc>
          <w:tcPr>
            <w:tcW w:w="1260" w:type="dxa"/>
            <w:tcBorders>
              <w:top w:val="nil"/>
              <w:left w:val="nil"/>
              <w:bottom w:val="nil"/>
              <w:right w:val="nil"/>
            </w:tcBorders>
          </w:tcPr>
          <w:p w14:paraId="41B22EDD" w14:textId="77777777" w:rsidR="002619BF" w:rsidRPr="005B5AB4" w:rsidRDefault="002619BF">
            <w:pPr>
              <w:jc w:val="center"/>
              <w:rPr>
                <w:sz w:val="18"/>
              </w:rPr>
            </w:pPr>
            <w:r w:rsidRPr="005B5AB4">
              <w:rPr>
                <w:sz w:val="18"/>
              </w:rPr>
              <w:t>0.000</w:t>
            </w:r>
          </w:p>
        </w:tc>
      </w:tr>
      <w:tr w:rsidR="002619BF" w:rsidRPr="005B5AB4" w14:paraId="145C17F0" w14:textId="77777777">
        <w:tblPrEx>
          <w:tblCellMar>
            <w:top w:w="0" w:type="dxa"/>
            <w:bottom w:w="0" w:type="dxa"/>
          </w:tblCellMar>
        </w:tblPrEx>
        <w:tc>
          <w:tcPr>
            <w:tcW w:w="3240" w:type="dxa"/>
            <w:tcBorders>
              <w:top w:val="nil"/>
              <w:left w:val="nil"/>
              <w:bottom w:val="nil"/>
              <w:right w:val="nil"/>
            </w:tcBorders>
          </w:tcPr>
          <w:p w14:paraId="3FCCFAAB" w14:textId="77777777" w:rsidR="002619BF" w:rsidRPr="005B5AB4" w:rsidRDefault="002619BF">
            <w:pPr>
              <w:ind w:left="252" w:hanging="252"/>
              <w:rPr>
                <w:sz w:val="18"/>
              </w:rPr>
            </w:pPr>
            <w:r w:rsidRPr="005B5AB4">
              <w:rPr>
                <w:sz w:val="18"/>
              </w:rPr>
              <w:t>b. Customer Satisfaction (CS)</w:t>
            </w:r>
          </w:p>
        </w:tc>
        <w:tc>
          <w:tcPr>
            <w:tcW w:w="1080" w:type="dxa"/>
            <w:tcBorders>
              <w:top w:val="nil"/>
              <w:left w:val="nil"/>
              <w:bottom w:val="nil"/>
              <w:right w:val="nil"/>
            </w:tcBorders>
          </w:tcPr>
          <w:p w14:paraId="35B9504F" w14:textId="77777777" w:rsidR="002619BF" w:rsidRPr="005B5AB4" w:rsidRDefault="002619BF">
            <w:pPr>
              <w:jc w:val="center"/>
              <w:rPr>
                <w:sz w:val="18"/>
              </w:rPr>
            </w:pPr>
          </w:p>
        </w:tc>
        <w:tc>
          <w:tcPr>
            <w:tcW w:w="1170" w:type="dxa"/>
            <w:tcBorders>
              <w:top w:val="nil"/>
              <w:left w:val="nil"/>
              <w:bottom w:val="nil"/>
              <w:right w:val="nil"/>
            </w:tcBorders>
          </w:tcPr>
          <w:p w14:paraId="214AA68A" w14:textId="77777777" w:rsidR="002619BF" w:rsidRPr="005B5AB4" w:rsidRDefault="002619BF">
            <w:pPr>
              <w:jc w:val="center"/>
              <w:rPr>
                <w:sz w:val="18"/>
              </w:rPr>
            </w:pPr>
          </w:p>
        </w:tc>
        <w:tc>
          <w:tcPr>
            <w:tcW w:w="1080" w:type="dxa"/>
            <w:tcBorders>
              <w:top w:val="nil"/>
              <w:left w:val="nil"/>
              <w:bottom w:val="nil"/>
              <w:right w:val="nil"/>
            </w:tcBorders>
          </w:tcPr>
          <w:p w14:paraId="47E3CCAE" w14:textId="77777777" w:rsidR="002619BF" w:rsidRPr="005B5AB4" w:rsidRDefault="002619BF">
            <w:pPr>
              <w:jc w:val="center"/>
              <w:rPr>
                <w:sz w:val="18"/>
              </w:rPr>
            </w:pPr>
          </w:p>
        </w:tc>
        <w:tc>
          <w:tcPr>
            <w:tcW w:w="1260" w:type="dxa"/>
            <w:tcBorders>
              <w:top w:val="nil"/>
              <w:left w:val="nil"/>
              <w:bottom w:val="nil"/>
              <w:right w:val="nil"/>
            </w:tcBorders>
          </w:tcPr>
          <w:p w14:paraId="0930132B" w14:textId="77777777" w:rsidR="002619BF" w:rsidRPr="005B5AB4" w:rsidRDefault="002619BF">
            <w:pPr>
              <w:jc w:val="center"/>
              <w:rPr>
                <w:sz w:val="18"/>
              </w:rPr>
            </w:pPr>
          </w:p>
        </w:tc>
      </w:tr>
      <w:tr w:rsidR="002619BF" w:rsidRPr="005B5AB4" w14:paraId="1E701F18" w14:textId="77777777">
        <w:tblPrEx>
          <w:tblCellMar>
            <w:top w:w="0" w:type="dxa"/>
            <w:bottom w:w="0" w:type="dxa"/>
          </w:tblCellMar>
        </w:tblPrEx>
        <w:tc>
          <w:tcPr>
            <w:tcW w:w="3240" w:type="dxa"/>
            <w:tcBorders>
              <w:top w:val="nil"/>
              <w:left w:val="nil"/>
              <w:bottom w:val="nil"/>
              <w:right w:val="nil"/>
            </w:tcBorders>
          </w:tcPr>
          <w:p w14:paraId="2C0F1852" w14:textId="77777777" w:rsidR="002619BF" w:rsidRPr="005B5AB4" w:rsidRDefault="002619BF">
            <w:pPr>
              <w:ind w:left="252" w:hanging="252"/>
              <w:rPr>
                <w:sz w:val="18"/>
              </w:rPr>
            </w:pPr>
            <w:r w:rsidRPr="005B5AB4">
              <w:rPr>
                <w:sz w:val="18"/>
              </w:rPr>
              <w:t xml:space="preserve">   Customer satisfaction on  service quality (</w:t>
            </w:r>
            <w:proofErr w:type="spellStart"/>
            <w:r w:rsidRPr="005B5AB4">
              <w:rPr>
                <w:sz w:val="18"/>
              </w:rPr>
              <w:t>Cquality</w:t>
            </w:r>
            <w:proofErr w:type="spellEnd"/>
            <w:r w:rsidRPr="005B5AB4">
              <w:rPr>
                <w:sz w:val="18"/>
              </w:rPr>
              <w:t>)</w:t>
            </w:r>
          </w:p>
        </w:tc>
        <w:tc>
          <w:tcPr>
            <w:tcW w:w="1080" w:type="dxa"/>
            <w:tcBorders>
              <w:top w:val="nil"/>
              <w:left w:val="nil"/>
              <w:bottom w:val="nil"/>
              <w:right w:val="nil"/>
            </w:tcBorders>
          </w:tcPr>
          <w:p w14:paraId="5A24DC3A" w14:textId="77777777" w:rsidR="002619BF" w:rsidRPr="005B5AB4" w:rsidRDefault="002619BF">
            <w:pPr>
              <w:jc w:val="center"/>
              <w:rPr>
                <w:sz w:val="18"/>
              </w:rPr>
            </w:pPr>
            <w:r w:rsidRPr="005B5AB4">
              <w:rPr>
                <w:sz w:val="18"/>
              </w:rPr>
              <w:t>0.743</w:t>
            </w:r>
          </w:p>
        </w:tc>
        <w:tc>
          <w:tcPr>
            <w:tcW w:w="1170" w:type="dxa"/>
            <w:tcBorders>
              <w:top w:val="nil"/>
              <w:left w:val="nil"/>
              <w:bottom w:val="nil"/>
              <w:right w:val="nil"/>
            </w:tcBorders>
          </w:tcPr>
          <w:p w14:paraId="53218020" w14:textId="77777777" w:rsidR="002619BF" w:rsidRPr="005B5AB4" w:rsidRDefault="002619BF">
            <w:pPr>
              <w:jc w:val="center"/>
              <w:rPr>
                <w:sz w:val="18"/>
              </w:rPr>
            </w:pPr>
            <w:r w:rsidRPr="005B5AB4">
              <w:rPr>
                <w:sz w:val="18"/>
              </w:rPr>
              <w:t>0.053</w:t>
            </w:r>
          </w:p>
        </w:tc>
        <w:tc>
          <w:tcPr>
            <w:tcW w:w="1080" w:type="dxa"/>
            <w:tcBorders>
              <w:top w:val="nil"/>
              <w:left w:val="nil"/>
              <w:bottom w:val="nil"/>
              <w:right w:val="nil"/>
            </w:tcBorders>
          </w:tcPr>
          <w:p w14:paraId="473D2A69" w14:textId="77777777" w:rsidR="002619BF" w:rsidRPr="005B5AB4" w:rsidRDefault="002619BF">
            <w:pPr>
              <w:jc w:val="center"/>
              <w:rPr>
                <w:sz w:val="18"/>
              </w:rPr>
            </w:pPr>
            <w:r w:rsidRPr="005B5AB4">
              <w:rPr>
                <w:sz w:val="18"/>
              </w:rPr>
              <w:t>16.466</w:t>
            </w:r>
          </w:p>
        </w:tc>
        <w:tc>
          <w:tcPr>
            <w:tcW w:w="1260" w:type="dxa"/>
            <w:tcBorders>
              <w:top w:val="nil"/>
              <w:left w:val="nil"/>
              <w:bottom w:val="nil"/>
              <w:right w:val="nil"/>
            </w:tcBorders>
          </w:tcPr>
          <w:p w14:paraId="1090CF5F" w14:textId="77777777" w:rsidR="002619BF" w:rsidRPr="005B5AB4" w:rsidRDefault="002619BF">
            <w:pPr>
              <w:jc w:val="center"/>
              <w:rPr>
                <w:sz w:val="18"/>
              </w:rPr>
            </w:pPr>
            <w:r w:rsidRPr="005B5AB4">
              <w:rPr>
                <w:sz w:val="18"/>
              </w:rPr>
              <w:t>0.000</w:t>
            </w:r>
          </w:p>
        </w:tc>
      </w:tr>
      <w:tr w:rsidR="002619BF" w:rsidRPr="005B5AB4" w14:paraId="0A6DFAED" w14:textId="77777777">
        <w:tblPrEx>
          <w:tblCellMar>
            <w:top w:w="0" w:type="dxa"/>
            <w:bottom w:w="0" w:type="dxa"/>
          </w:tblCellMar>
        </w:tblPrEx>
        <w:tc>
          <w:tcPr>
            <w:tcW w:w="3240" w:type="dxa"/>
            <w:tcBorders>
              <w:top w:val="nil"/>
              <w:left w:val="nil"/>
              <w:bottom w:val="nil"/>
              <w:right w:val="nil"/>
            </w:tcBorders>
          </w:tcPr>
          <w:p w14:paraId="4E659C4E" w14:textId="77777777" w:rsidR="002619BF" w:rsidRPr="005B5AB4" w:rsidRDefault="002619BF">
            <w:pPr>
              <w:ind w:left="252" w:hanging="252"/>
              <w:rPr>
                <w:sz w:val="18"/>
              </w:rPr>
            </w:pPr>
            <w:r w:rsidRPr="005B5AB4">
              <w:rPr>
                <w:sz w:val="18"/>
              </w:rPr>
              <w:t xml:space="preserve">   Customer satisfaction on facilities provided (</w:t>
            </w:r>
            <w:proofErr w:type="spellStart"/>
            <w:r w:rsidRPr="005B5AB4">
              <w:rPr>
                <w:sz w:val="18"/>
              </w:rPr>
              <w:t>Cfcility</w:t>
            </w:r>
            <w:proofErr w:type="spellEnd"/>
            <w:r w:rsidRPr="005B5AB4">
              <w:rPr>
                <w:sz w:val="18"/>
              </w:rPr>
              <w:t>)</w:t>
            </w:r>
          </w:p>
        </w:tc>
        <w:tc>
          <w:tcPr>
            <w:tcW w:w="1080" w:type="dxa"/>
            <w:tcBorders>
              <w:top w:val="nil"/>
              <w:left w:val="nil"/>
              <w:bottom w:val="nil"/>
              <w:right w:val="nil"/>
            </w:tcBorders>
          </w:tcPr>
          <w:p w14:paraId="2B2A4C35" w14:textId="77777777" w:rsidR="002619BF" w:rsidRPr="005B5AB4" w:rsidRDefault="002619BF">
            <w:pPr>
              <w:jc w:val="center"/>
              <w:rPr>
                <w:sz w:val="18"/>
              </w:rPr>
            </w:pPr>
            <w:r w:rsidRPr="005B5AB4">
              <w:rPr>
                <w:sz w:val="18"/>
              </w:rPr>
              <w:t>0.808</w:t>
            </w:r>
          </w:p>
        </w:tc>
        <w:tc>
          <w:tcPr>
            <w:tcW w:w="1170" w:type="dxa"/>
            <w:tcBorders>
              <w:top w:val="nil"/>
              <w:left w:val="nil"/>
              <w:bottom w:val="nil"/>
              <w:right w:val="nil"/>
            </w:tcBorders>
          </w:tcPr>
          <w:p w14:paraId="10BA4800" w14:textId="77777777" w:rsidR="002619BF" w:rsidRPr="005B5AB4" w:rsidRDefault="002619BF">
            <w:pPr>
              <w:jc w:val="center"/>
              <w:rPr>
                <w:sz w:val="18"/>
              </w:rPr>
            </w:pPr>
            <w:r w:rsidRPr="005B5AB4">
              <w:rPr>
                <w:sz w:val="18"/>
              </w:rPr>
              <w:t>0.069</w:t>
            </w:r>
          </w:p>
        </w:tc>
        <w:tc>
          <w:tcPr>
            <w:tcW w:w="1080" w:type="dxa"/>
            <w:tcBorders>
              <w:top w:val="nil"/>
              <w:left w:val="nil"/>
              <w:bottom w:val="nil"/>
              <w:right w:val="nil"/>
            </w:tcBorders>
          </w:tcPr>
          <w:p w14:paraId="5568EB0F" w14:textId="77777777" w:rsidR="002619BF" w:rsidRPr="005B5AB4" w:rsidRDefault="002619BF">
            <w:pPr>
              <w:jc w:val="center"/>
              <w:rPr>
                <w:sz w:val="18"/>
              </w:rPr>
            </w:pPr>
            <w:r w:rsidRPr="005B5AB4">
              <w:rPr>
                <w:sz w:val="18"/>
              </w:rPr>
              <w:t>16.115</w:t>
            </w:r>
          </w:p>
        </w:tc>
        <w:tc>
          <w:tcPr>
            <w:tcW w:w="1260" w:type="dxa"/>
            <w:tcBorders>
              <w:top w:val="nil"/>
              <w:left w:val="nil"/>
              <w:bottom w:val="nil"/>
              <w:right w:val="nil"/>
            </w:tcBorders>
          </w:tcPr>
          <w:p w14:paraId="350E8E18" w14:textId="77777777" w:rsidR="002619BF" w:rsidRPr="005B5AB4" w:rsidRDefault="002619BF">
            <w:pPr>
              <w:jc w:val="center"/>
              <w:rPr>
                <w:sz w:val="18"/>
              </w:rPr>
            </w:pPr>
            <w:r w:rsidRPr="005B5AB4">
              <w:rPr>
                <w:sz w:val="18"/>
              </w:rPr>
              <w:t>0.000</w:t>
            </w:r>
          </w:p>
        </w:tc>
      </w:tr>
      <w:tr w:rsidR="002619BF" w:rsidRPr="005B5AB4" w14:paraId="7D107219" w14:textId="77777777">
        <w:tblPrEx>
          <w:tblCellMar>
            <w:top w:w="0" w:type="dxa"/>
            <w:bottom w:w="0" w:type="dxa"/>
          </w:tblCellMar>
        </w:tblPrEx>
        <w:tc>
          <w:tcPr>
            <w:tcW w:w="3240" w:type="dxa"/>
            <w:tcBorders>
              <w:top w:val="nil"/>
              <w:left w:val="nil"/>
              <w:bottom w:val="nil"/>
              <w:right w:val="nil"/>
            </w:tcBorders>
          </w:tcPr>
          <w:p w14:paraId="383FFF29" w14:textId="77777777" w:rsidR="002619BF" w:rsidRPr="005B5AB4" w:rsidRDefault="002619BF">
            <w:pPr>
              <w:ind w:left="252" w:hanging="252"/>
              <w:rPr>
                <w:sz w:val="18"/>
              </w:rPr>
            </w:pPr>
            <w:r w:rsidRPr="005B5AB4">
              <w:rPr>
                <w:sz w:val="18"/>
              </w:rPr>
              <w:t xml:space="preserve">   Customer satisfaction on service given by counter employees (</w:t>
            </w:r>
            <w:proofErr w:type="spellStart"/>
            <w:r w:rsidRPr="005B5AB4">
              <w:rPr>
                <w:sz w:val="18"/>
              </w:rPr>
              <w:t>Cemploy</w:t>
            </w:r>
            <w:proofErr w:type="spellEnd"/>
            <w:r w:rsidRPr="005B5AB4">
              <w:rPr>
                <w:sz w:val="18"/>
              </w:rPr>
              <w:t>)</w:t>
            </w:r>
          </w:p>
        </w:tc>
        <w:tc>
          <w:tcPr>
            <w:tcW w:w="1080" w:type="dxa"/>
            <w:tcBorders>
              <w:top w:val="nil"/>
              <w:left w:val="nil"/>
              <w:bottom w:val="nil"/>
              <w:right w:val="nil"/>
            </w:tcBorders>
          </w:tcPr>
          <w:p w14:paraId="0A2C900E" w14:textId="77777777" w:rsidR="002619BF" w:rsidRPr="005B5AB4" w:rsidRDefault="002619BF">
            <w:pPr>
              <w:jc w:val="center"/>
              <w:rPr>
                <w:sz w:val="18"/>
                <w:lang w:val="fr-FR"/>
              </w:rPr>
            </w:pPr>
            <w:r w:rsidRPr="005B5AB4">
              <w:rPr>
                <w:sz w:val="18"/>
                <w:lang w:val="fr-FR"/>
              </w:rPr>
              <w:t>0.901</w:t>
            </w:r>
          </w:p>
        </w:tc>
        <w:tc>
          <w:tcPr>
            <w:tcW w:w="1170" w:type="dxa"/>
            <w:tcBorders>
              <w:top w:val="nil"/>
              <w:left w:val="nil"/>
              <w:bottom w:val="nil"/>
              <w:right w:val="nil"/>
            </w:tcBorders>
          </w:tcPr>
          <w:p w14:paraId="6A9F197D" w14:textId="77777777" w:rsidR="002619BF" w:rsidRPr="005B5AB4" w:rsidRDefault="002619BF">
            <w:pPr>
              <w:jc w:val="center"/>
              <w:rPr>
                <w:sz w:val="18"/>
                <w:lang w:val="fr-FR"/>
              </w:rPr>
            </w:pPr>
            <w:r w:rsidRPr="005B5AB4">
              <w:rPr>
                <w:sz w:val="18"/>
                <w:lang w:val="fr-FR"/>
              </w:rPr>
              <w:t>0.058</w:t>
            </w:r>
          </w:p>
        </w:tc>
        <w:tc>
          <w:tcPr>
            <w:tcW w:w="1080" w:type="dxa"/>
            <w:tcBorders>
              <w:top w:val="nil"/>
              <w:left w:val="nil"/>
              <w:bottom w:val="nil"/>
              <w:right w:val="nil"/>
            </w:tcBorders>
          </w:tcPr>
          <w:p w14:paraId="74A1B749" w14:textId="77777777" w:rsidR="002619BF" w:rsidRPr="005B5AB4" w:rsidRDefault="002619BF">
            <w:pPr>
              <w:jc w:val="center"/>
              <w:rPr>
                <w:sz w:val="18"/>
                <w:lang w:val="fr-FR"/>
              </w:rPr>
            </w:pPr>
            <w:r w:rsidRPr="005B5AB4">
              <w:rPr>
                <w:sz w:val="18"/>
                <w:lang w:val="fr-FR"/>
              </w:rPr>
              <w:t>17.759</w:t>
            </w:r>
          </w:p>
        </w:tc>
        <w:tc>
          <w:tcPr>
            <w:tcW w:w="1260" w:type="dxa"/>
            <w:tcBorders>
              <w:top w:val="nil"/>
              <w:left w:val="nil"/>
              <w:bottom w:val="nil"/>
              <w:right w:val="nil"/>
            </w:tcBorders>
          </w:tcPr>
          <w:p w14:paraId="7B01546A" w14:textId="77777777" w:rsidR="002619BF" w:rsidRPr="005B5AB4" w:rsidRDefault="002619BF">
            <w:pPr>
              <w:jc w:val="center"/>
              <w:rPr>
                <w:sz w:val="18"/>
                <w:lang w:val="fr-FR"/>
              </w:rPr>
            </w:pPr>
            <w:r w:rsidRPr="005B5AB4">
              <w:rPr>
                <w:sz w:val="18"/>
                <w:lang w:val="fr-FR"/>
              </w:rPr>
              <w:t>0.000</w:t>
            </w:r>
          </w:p>
        </w:tc>
      </w:tr>
      <w:tr w:rsidR="002619BF" w:rsidRPr="005B5AB4" w14:paraId="0114720E" w14:textId="77777777">
        <w:tblPrEx>
          <w:tblCellMar>
            <w:top w:w="0" w:type="dxa"/>
            <w:bottom w:w="0" w:type="dxa"/>
          </w:tblCellMar>
        </w:tblPrEx>
        <w:tc>
          <w:tcPr>
            <w:tcW w:w="3240" w:type="dxa"/>
            <w:tcBorders>
              <w:top w:val="nil"/>
              <w:left w:val="nil"/>
              <w:bottom w:val="nil"/>
              <w:right w:val="nil"/>
            </w:tcBorders>
          </w:tcPr>
          <w:p w14:paraId="7AF61234" w14:textId="77777777" w:rsidR="002619BF" w:rsidRPr="005B5AB4" w:rsidRDefault="002619BF">
            <w:pPr>
              <w:ind w:left="252" w:hanging="252"/>
              <w:rPr>
                <w:sz w:val="18"/>
              </w:rPr>
            </w:pPr>
          </w:p>
        </w:tc>
        <w:tc>
          <w:tcPr>
            <w:tcW w:w="1080" w:type="dxa"/>
            <w:tcBorders>
              <w:top w:val="nil"/>
              <w:left w:val="nil"/>
              <w:bottom w:val="nil"/>
              <w:right w:val="nil"/>
            </w:tcBorders>
          </w:tcPr>
          <w:p w14:paraId="4D254F19" w14:textId="77777777" w:rsidR="002619BF" w:rsidRPr="005B5AB4" w:rsidRDefault="002619BF">
            <w:pPr>
              <w:jc w:val="center"/>
              <w:rPr>
                <w:sz w:val="18"/>
                <w:lang w:val="fr-FR"/>
              </w:rPr>
            </w:pPr>
          </w:p>
        </w:tc>
        <w:tc>
          <w:tcPr>
            <w:tcW w:w="1170" w:type="dxa"/>
            <w:tcBorders>
              <w:top w:val="nil"/>
              <w:left w:val="nil"/>
              <w:bottom w:val="nil"/>
              <w:right w:val="nil"/>
            </w:tcBorders>
          </w:tcPr>
          <w:p w14:paraId="2B5855D0" w14:textId="77777777" w:rsidR="002619BF" w:rsidRPr="005B5AB4" w:rsidRDefault="002619BF">
            <w:pPr>
              <w:jc w:val="center"/>
              <w:rPr>
                <w:sz w:val="18"/>
                <w:lang w:val="fr-FR"/>
              </w:rPr>
            </w:pPr>
          </w:p>
        </w:tc>
        <w:tc>
          <w:tcPr>
            <w:tcW w:w="1080" w:type="dxa"/>
            <w:tcBorders>
              <w:top w:val="nil"/>
              <w:left w:val="nil"/>
              <w:bottom w:val="nil"/>
              <w:right w:val="nil"/>
            </w:tcBorders>
          </w:tcPr>
          <w:p w14:paraId="76E0DD55" w14:textId="77777777" w:rsidR="002619BF" w:rsidRPr="005B5AB4" w:rsidRDefault="002619BF">
            <w:pPr>
              <w:jc w:val="center"/>
              <w:rPr>
                <w:sz w:val="18"/>
                <w:lang w:val="fr-FR"/>
              </w:rPr>
            </w:pPr>
          </w:p>
        </w:tc>
        <w:tc>
          <w:tcPr>
            <w:tcW w:w="1260" w:type="dxa"/>
            <w:tcBorders>
              <w:top w:val="nil"/>
              <w:left w:val="nil"/>
              <w:bottom w:val="nil"/>
              <w:right w:val="nil"/>
            </w:tcBorders>
          </w:tcPr>
          <w:p w14:paraId="2B97FEBD" w14:textId="77777777" w:rsidR="002619BF" w:rsidRPr="005B5AB4" w:rsidRDefault="002619BF">
            <w:pPr>
              <w:jc w:val="center"/>
              <w:rPr>
                <w:sz w:val="18"/>
                <w:lang w:val="fr-FR"/>
              </w:rPr>
            </w:pPr>
          </w:p>
        </w:tc>
      </w:tr>
      <w:tr w:rsidR="002619BF" w:rsidRPr="005B5AB4" w14:paraId="381FCCF2" w14:textId="77777777">
        <w:tblPrEx>
          <w:tblCellMar>
            <w:top w:w="0" w:type="dxa"/>
            <w:bottom w:w="0" w:type="dxa"/>
          </w:tblCellMar>
        </w:tblPrEx>
        <w:tc>
          <w:tcPr>
            <w:tcW w:w="3240" w:type="dxa"/>
            <w:tcBorders>
              <w:top w:val="nil"/>
              <w:left w:val="nil"/>
              <w:bottom w:val="nil"/>
              <w:right w:val="nil"/>
            </w:tcBorders>
          </w:tcPr>
          <w:p w14:paraId="08682AF4" w14:textId="77777777" w:rsidR="002619BF" w:rsidRPr="005B5AB4" w:rsidRDefault="002619BF">
            <w:pPr>
              <w:ind w:left="252" w:hanging="252"/>
              <w:rPr>
                <w:sz w:val="18"/>
                <w:lang w:val="fr-FR"/>
              </w:rPr>
            </w:pPr>
            <w:r w:rsidRPr="005B5AB4">
              <w:rPr>
                <w:sz w:val="18"/>
                <w:lang w:val="fr-FR"/>
              </w:rPr>
              <w:t xml:space="preserve">(ii) </w:t>
            </w:r>
            <w:proofErr w:type="spellStart"/>
            <w:r w:rsidRPr="005B5AB4">
              <w:rPr>
                <w:sz w:val="18"/>
                <w:lang w:val="fr-FR"/>
              </w:rPr>
              <w:t>Exogenous</w:t>
            </w:r>
            <w:proofErr w:type="spellEnd"/>
            <w:r w:rsidRPr="005B5AB4">
              <w:rPr>
                <w:sz w:val="18"/>
                <w:lang w:val="fr-FR"/>
              </w:rPr>
              <w:t>/</w:t>
            </w:r>
            <w:proofErr w:type="spellStart"/>
            <w:r w:rsidRPr="005B5AB4">
              <w:rPr>
                <w:sz w:val="18"/>
                <w:lang w:val="fr-FR"/>
              </w:rPr>
              <w:t>endogenous</w:t>
            </w:r>
            <w:proofErr w:type="spellEnd"/>
            <w:r w:rsidRPr="005B5AB4">
              <w:rPr>
                <w:sz w:val="18"/>
                <w:lang w:val="fr-FR"/>
              </w:rPr>
              <w:t xml:space="preserve"> Path  </w:t>
            </w:r>
          </w:p>
        </w:tc>
        <w:tc>
          <w:tcPr>
            <w:tcW w:w="1080" w:type="dxa"/>
            <w:tcBorders>
              <w:top w:val="nil"/>
              <w:left w:val="nil"/>
              <w:bottom w:val="nil"/>
              <w:right w:val="nil"/>
            </w:tcBorders>
          </w:tcPr>
          <w:p w14:paraId="1F447809" w14:textId="77777777" w:rsidR="002619BF" w:rsidRPr="005B5AB4" w:rsidRDefault="002619BF">
            <w:pPr>
              <w:jc w:val="center"/>
              <w:rPr>
                <w:sz w:val="18"/>
                <w:lang w:val="fr-FR"/>
              </w:rPr>
            </w:pPr>
          </w:p>
        </w:tc>
        <w:tc>
          <w:tcPr>
            <w:tcW w:w="1170" w:type="dxa"/>
            <w:tcBorders>
              <w:top w:val="nil"/>
              <w:left w:val="nil"/>
              <w:bottom w:val="nil"/>
              <w:right w:val="nil"/>
            </w:tcBorders>
          </w:tcPr>
          <w:p w14:paraId="20BDA263" w14:textId="77777777" w:rsidR="002619BF" w:rsidRPr="005B5AB4" w:rsidRDefault="002619BF">
            <w:pPr>
              <w:jc w:val="center"/>
              <w:rPr>
                <w:sz w:val="18"/>
                <w:lang w:val="fr-FR"/>
              </w:rPr>
            </w:pPr>
          </w:p>
        </w:tc>
        <w:tc>
          <w:tcPr>
            <w:tcW w:w="1080" w:type="dxa"/>
            <w:tcBorders>
              <w:top w:val="nil"/>
              <w:left w:val="nil"/>
              <w:bottom w:val="nil"/>
              <w:right w:val="nil"/>
            </w:tcBorders>
          </w:tcPr>
          <w:p w14:paraId="260B7922" w14:textId="77777777" w:rsidR="002619BF" w:rsidRPr="005B5AB4" w:rsidRDefault="002619BF">
            <w:pPr>
              <w:jc w:val="center"/>
              <w:rPr>
                <w:sz w:val="18"/>
                <w:lang w:val="fr-FR"/>
              </w:rPr>
            </w:pPr>
          </w:p>
        </w:tc>
        <w:tc>
          <w:tcPr>
            <w:tcW w:w="1260" w:type="dxa"/>
            <w:tcBorders>
              <w:top w:val="nil"/>
              <w:left w:val="nil"/>
              <w:bottom w:val="nil"/>
              <w:right w:val="nil"/>
            </w:tcBorders>
          </w:tcPr>
          <w:p w14:paraId="2132E249" w14:textId="77777777" w:rsidR="002619BF" w:rsidRPr="005B5AB4" w:rsidRDefault="002619BF">
            <w:pPr>
              <w:jc w:val="center"/>
              <w:rPr>
                <w:sz w:val="18"/>
                <w:lang w:val="fr-FR"/>
              </w:rPr>
            </w:pPr>
          </w:p>
        </w:tc>
      </w:tr>
      <w:tr w:rsidR="002619BF" w:rsidRPr="005B5AB4" w14:paraId="45949193" w14:textId="77777777">
        <w:tblPrEx>
          <w:tblCellMar>
            <w:top w:w="0" w:type="dxa"/>
            <w:bottom w:w="0" w:type="dxa"/>
          </w:tblCellMar>
        </w:tblPrEx>
        <w:tc>
          <w:tcPr>
            <w:tcW w:w="3240" w:type="dxa"/>
            <w:tcBorders>
              <w:top w:val="nil"/>
              <w:left w:val="nil"/>
              <w:bottom w:val="nil"/>
              <w:right w:val="nil"/>
            </w:tcBorders>
          </w:tcPr>
          <w:p w14:paraId="37062782" w14:textId="77777777" w:rsidR="002619BF" w:rsidRPr="005B5AB4" w:rsidRDefault="002619BF">
            <w:pPr>
              <w:rPr>
                <w:sz w:val="18"/>
              </w:rPr>
            </w:pPr>
            <w:r w:rsidRPr="005B5AB4">
              <w:rPr>
                <w:sz w:val="18"/>
              </w:rPr>
              <w:t>a.  TQM</w:t>
            </w:r>
            <w:r w:rsidRPr="005B5AB4">
              <w:rPr>
                <w:sz w:val="18"/>
              </w:rPr>
              <w:sym w:font="Symbol" w:char="F0AE"/>
            </w:r>
            <w:r w:rsidRPr="005B5AB4">
              <w:rPr>
                <w:sz w:val="18"/>
              </w:rPr>
              <w:t xml:space="preserve"> CS</w:t>
            </w:r>
          </w:p>
        </w:tc>
        <w:tc>
          <w:tcPr>
            <w:tcW w:w="1080" w:type="dxa"/>
            <w:tcBorders>
              <w:top w:val="nil"/>
              <w:left w:val="nil"/>
              <w:bottom w:val="nil"/>
              <w:right w:val="nil"/>
            </w:tcBorders>
          </w:tcPr>
          <w:p w14:paraId="0226823E" w14:textId="77777777" w:rsidR="002619BF" w:rsidRPr="005B5AB4" w:rsidRDefault="002619BF">
            <w:pPr>
              <w:jc w:val="center"/>
              <w:rPr>
                <w:sz w:val="18"/>
              </w:rPr>
            </w:pPr>
            <w:r w:rsidRPr="005B5AB4">
              <w:rPr>
                <w:sz w:val="18"/>
              </w:rPr>
              <w:t>0.222</w:t>
            </w:r>
          </w:p>
        </w:tc>
        <w:tc>
          <w:tcPr>
            <w:tcW w:w="1170" w:type="dxa"/>
            <w:tcBorders>
              <w:top w:val="nil"/>
              <w:left w:val="nil"/>
              <w:bottom w:val="nil"/>
              <w:right w:val="nil"/>
            </w:tcBorders>
          </w:tcPr>
          <w:p w14:paraId="1A5F3A1A" w14:textId="77777777" w:rsidR="002619BF" w:rsidRPr="005B5AB4" w:rsidRDefault="002619BF">
            <w:pPr>
              <w:jc w:val="center"/>
              <w:rPr>
                <w:sz w:val="18"/>
              </w:rPr>
            </w:pPr>
            <w:r w:rsidRPr="005B5AB4">
              <w:rPr>
                <w:sz w:val="18"/>
              </w:rPr>
              <w:t>0.074</w:t>
            </w:r>
          </w:p>
        </w:tc>
        <w:tc>
          <w:tcPr>
            <w:tcW w:w="1080" w:type="dxa"/>
            <w:tcBorders>
              <w:top w:val="nil"/>
              <w:left w:val="nil"/>
              <w:bottom w:val="nil"/>
              <w:right w:val="nil"/>
            </w:tcBorders>
          </w:tcPr>
          <w:p w14:paraId="5244A60D" w14:textId="77777777" w:rsidR="002619BF" w:rsidRPr="005B5AB4" w:rsidRDefault="002619BF">
            <w:pPr>
              <w:jc w:val="center"/>
              <w:rPr>
                <w:sz w:val="18"/>
              </w:rPr>
            </w:pPr>
            <w:r w:rsidRPr="005B5AB4">
              <w:rPr>
                <w:sz w:val="18"/>
              </w:rPr>
              <w:t>3.835</w:t>
            </w:r>
          </w:p>
        </w:tc>
        <w:tc>
          <w:tcPr>
            <w:tcW w:w="1260" w:type="dxa"/>
            <w:tcBorders>
              <w:top w:val="nil"/>
              <w:left w:val="nil"/>
              <w:bottom w:val="nil"/>
              <w:right w:val="nil"/>
            </w:tcBorders>
          </w:tcPr>
          <w:p w14:paraId="2EA330D1" w14:textId="77777777" w:rsidR="002619BF" w:rsidRPr="005B5AB4" w:rsidRDefault="002619BF">
            <w:pPr>
              <w:jc w:val="center"/>
              <w:rPr>
                <w:sz w:val="18"/>
              </w:rPr>
            </w:pPr>
            <w:r w:rsidRPr="005B5AB4">
              <w:rPr>
                <w:sz w:val="18"/>
              </w:rPr>
              <w:t>0.000</w:t>
            </w:r>
          </w:p>
        </w:tc>
      </w:tr>
      <w:tr w:rsidR="002619BF" w:rsidRPr="005B5AB4" w14:paraId="72FFB9A8" w14:textId="77777777">
        <w:tblPrEx>
          <w:tblCellMar>
            <w:top w:w="0" w:type="dxa"/>
            <w:bottom w:w="0" w:type="dxa"/>
          </w:tblCellMar>
        </w:tblPrEx>
        <w:tc>
          <w:tcPr>
            <w:tcW w:w="3240" w:type="dxa"/>
            <w:tcBorders>
              <w:top w:val="nil"/>
              <w:left w:val="nil"/>
              <w:bottom w:val="single" w:sz="6" w:space="0" w:color="auto"/>
              <w:right w:val="nil"/>
            </w:tcBorders>
          </w:tcPr>
          <w:p w14:paraId="6FA19176" w14:textId="77777777" w:rsidR="002619BF" w:rsidRPr="005B5AB4" w:rsidRDefault="002619BF">
            <w:pPr>
              <w:rPr>
                <w:sz w:val="18"/>
              </w:rPr>
            </w:pPr>
          </w:p>
        </w:tc>
        <w:tc>
          <w:tcPr>
            <w:tcW w:w="1080" w:type="dxa"/>
            <w:tcBorders>
              <w:top w:val="nil"/>
              <w:left w:val="nil"/>
              <w:bottom w:val="single" w:sz="6" w:space="0" w:color="auto"/>
              <w:right w:val="nil"/>
            </w:tcBorders>
          </w:tcPr>
          <w:p w14:paraId="24564CA3" w14:textId="77777777" w:rsidR="002619BF" w:rsidRPr="005B5AB4" w:rsidRDefault="002619BF">
            <w:pPr>
              <w:jc w:val="center"/>
              <w:rPr>
                <w:sz w:val="18"/>
              </w:rPr>
            </w:pPr>
          </w:p>
        </w:tc>
        <w:tc>
          <w:tcPr>
            <w:tcW w:w="1170" w:type="dxa"/>
            <w:tcBorders>
              <w:top w:val="nil"/>
              <w:left w:val="nil"/>
              <w:bottom w:val="single" w:sz="6" w:space="0" w:color="auto"/>
              <w:right w:val="nil"/>
            </w:tcBorders>
          </w:tcPr>
          <w:p w14:paraId="1DC6CAEE" w14:textId="77777777" w:rsidR="002619BF" w:rsidRPr="005B5AB4" w:rsidRDefault="002619BF">
            <w:pPr>
              <w:jc w:val="center"/>
              <w:rPr>
                <w:sz w:val="18"/>
              </w:rPr>
            </w:pPr>
          </w:p>
        </w:tc>
        <w:tc>
          <w:tcPr>
            <w:tcW w:w="1080" w:type="dxa"/>
            <w:tcBorders>
              <w:top w:val="nil"/>
              <w:left w:val="nil"/>
              <w:bottom w:val="single" w:sz="6" w:space="0" w:color="auto"/>
              <w:right w:val="nil"/>
            </w:tcBorders>
          </w:tcPr>
          <w:p w14:paraId="6E63CB66" w14:textId="77777777" w:rsidR="002619BF" w:rsidRPr="005B5AB4" w:rsidRDefault="002619BF">
            <w:pPr>
              <w:jc w:val="center"/>
              <w:rPr>
                <w:sz w:val="18"/>
              </w:rPr>
            </w:pPr>
          </w:p>
        </w:tc>
        <w:tc>
          <w:tcPr>
            <w:tcW w:w="1260" w:type="dxa"/>
            <w:tcBorders>
              <w:top w:val="nil"/>
              <w:left w:val="nil"/>
              <w:bottom w:val="single" w:sz="6" w:space="0" w:color="auto"/>
              <w:right w:val="nil"/>
            </w:tcBorders>
          </w:tcPr>
          <w:p w14:paraId="057EF814" w14:textId="77777777" w:rsidR="002619BF" w:rsidRPr="005B5AB4" w:rsidRDefault="002619BF">
            <w:pPr>
              <w:jc w:val="center"/>
              <w:rPr>
                <w:sz w:val="18"/>
              </w:rPr>
            </w:pPr>
          </w:p>
        </w:tc>
      </w:tr>
    </w:tbl>
    <w:p w14:paraId="57824A2E" w14:textId="77777777" w:rsidR="002619BF" w:rsidRPr="005B5AB4" w:rsidRDefault="002619BF">
      <w:pPr>
        <w:pStyle w:val="Text"/>
        <w:spacing w:after="120" w:line="220" w:lineRule="exact"/>
        <w:ind w:left="385"/>
        <w:rPr>
          <w:sz w:val="18"/>
        </w:rPr>
      </w:pPr>
      <w:proofErr w:type="spellStart"/>
      <w:r w:rsidRPr="005B5AB4">
        <w:rPr>
          <w:sz w:val="18"/>
          <w:vertAlign w:val="superscript"/>
        </w:rPr>
        <w:lastRenderedPageBreak/>
        <w:t>a</w:t>
      </w:r>
      <w:r w:rsidRPr="005B5AB4">
        <w:rPr>
          <w:sz w:val="18"/>
        </w:rPr>
        <w:t>footnote</w:t>
      </w:r>
      <w:proofErr w:type="spellEnd"/>
      <w:r w:rsidRPr="005B5AB4">
        <w:rPr>
          <w:sz w:val="18"/>
        </w:rPr>
        <w:t xml:space="preserve"> for table should be place here, left aligned.</w:t>
      </w:r>
      <w:r w:rsidRPr="005B5AB4">
        <w:rPr>
          <w:color w:val="800080"/>
          <w:sz w:val="18"/>
        </w:rPr>
        <w:t xml:space="preserve"> </w:t>
      </w:r>
    </w:p>
    <w:p w14:paraId="3C64B322" w14:textId="77777777" w:rsidR="002619BF" w:rsidRPr="005B5AB4" w:rsidRDefault="002619BF">
      <w:pPr>
        <w:pStyle w:val="TextIndent"/>
      </w:pPr>
    </w:p>
    <w:p w14:paraId="7E38F2D1" w14:textId="77777777" w:rsidR="002619BF" w:rsidRPr="005B5AB4" w:rsidRDefault="002619BF">
      <w:pPr>
        <w:pStyle w:val="Heading1"/>
        <w:spacing w:before="360"/>
        <w:ind w:left="289" w:right="289" w:hanging="289"/>
        <w:rPr>
          <w:sz w:val="22"/>
        </w:rPr>
      </w:pPr>
      <w:r w:rsidRPr="005B5AB4">
        <w:rPr>
          <w:sz w:val="22"/>
        </w:rPr>
        <w:t>Footnotes</w:t>
      </w:r>
    </w:p>
    <w:p w14:paraId="69C84977" w14:textId="77777777" w:rsidR="002619BF" w:rsidRPr="005B5AB4" w:rsidRDefault="002619BF">
      <w:pPr>
        <w:pStyle w:val="Text"/>
        <w:rPr>
          <w:sz w:val="22"/>
        </w:rPr>
      </w:pPr>
      <w:r w:rsidRPr="005B5AB4">
        <w:rPr>
          <w:sz w:val="22"/>
        </w:rPr>
        <w:t>Footnotes should be numbered sequentially in superscript lowercase Roman letters.</w:t>
      </w:r>
      <w:r w:rsidRPr="005B5AB4">
        <w:rPr>
          <w:rStyle w:val="FootnoteReference"/>
          <w:sz w:val="22"/>
        </w:rPr>
        <w:footnoteReference w:customMarkFollows="1" w:id="1"/>
        <w:t>a</w:t>
      </w:r>
    </w:p>
    <w:p w14:paraId="43B738B7" w14:textId="77777777" w:rsidR="002619BF" w:rsidRPr="005B5AB4" w:rsidRDefault="002619BF">
      <w:pPr>
        <w:pStyle w:val="Heading1"/>
        <w:numPr>
          <w:ilvl w:val="0"/>
          <w:numId w:val="0"/>
        </w:numPr>
        <w:spacing w:before="360"/>
        <w:ind w:right="289"/>
        <w:rPr>
          <w:sz w:val="22"/>
        </w:rPr>
      </w:pPr>
      <w:r w:rsidRPr="005B5AB4">
        <w:rPr>
          <w:sz w:val="22"/>
        </w:rPr>
        <w:t xml:space="preserve">Acknowledgments </w:t>
      </w:r>
    </w:p>
    <w:p w14:paraId="6707A031" w14:textId="77777777" w:rsidR="002619BF" w:rsidRPr="005B5AB4" w:rsidRDefault="002619BF">
      <w:pPr>
        <w:pStyle w:val="Text"/>
        <w:rPr>
          <w:sz w:val="22"/>
        </w:rPr>
      </w:pPr>
      <w:r w:rsidRPr="005B5AB4">
        <w:rPr>
          <w:sz w:val="22"/>
        </w:rPr>
        <w:t>This section should come before the References. Funding information may also be included here.</w:t>
      </w:r>
    </w:p>
    <w:p w14:paraId="2A995E3B" w14:textId="77777777" w:rsidR="002619BF" w:rsidRPr="005B5AB4" w:rsidRDefault="002619BF">
      <w:pPr>
        <w:pStyle w:val="Appendix1"/>
        <w:spacing w:before="240"/>
        <w:ind w:left="301" w:hanging="301"/>
        <w:rPr>
          <w:sz w:val="22"/>
        </w:rPr>
      </w:pPr>
      <w:r w:rsidRPr="005B5AB4">
        <w:rPr>
          <w:sz w:val="22"/>
        </w:rPr>
        <w:t xml:space="preserve">  Appendix </w:t>
      </w:r>
    </w:p>
    <w:p w14:paraId="58C0BC86" w14:textId="77777777" w:rsidR="002619BF" w:rsidRPr="005B5AB4" w:rsidRDefault="002619BF">
      <w:pPr>
        <w:pStyle w:val="Text"/>
        <w:rPr>
          <w:sz w:val="22"/>
        </w:rPr>
      </w:pPr>
      <w:r w:rsidRPr="005B5AB4">
        <w:rPr>
          <w:sz w:val="22"/>
        </w:rPr>
        <w:t>Appendices should be used only when absolutely necessary. They should come after the References. If there is more than one appendix, number them alphabetically. Number displayed equations occurring in the Appendix in this way, e.g. (A.1), (A.2), etc.</w:t>
      </w:r>
    </w:p>
    <w:p w14:paraId="750D3845" w14:textId="77777777" w:rsidR="002619BF" w:rsidRPr="005B5AB4" w:rsidRDefault="002619BF">
      <w:pPr>
        <w:pStyle w:val="Text"/>
        <w:rPr>
          <w:sz w:val="22"/>
        </w:rPr>
      </w:pPr>
    </w:p>
    <w:p w14:paraId="173495DF" w14:textId="77777777" w:rsidR="002619BF" w:rsidRPr="005B5AB4" w:rsidRDefault="002619BF">
      <w:pPr>
        <w:pStyle w:val="BodyText"/>
        <w:tabs>
          <w:tab w:val="right" w:pos="8305"/>
        </w:tabs>
        <w:ind w:firstLine="567"/>
        <w:rPr>
          <w:sz w:val="22"/>
          <w:szCs w:val="22"/>
        </w:rPr>
      </w:pPr>
      <w:r w:rsidRPr="005B5AB4">
        <w:rPr>
          <w:position w:val="-48"/>
          <w:sz w:val="22"/>
          <w:szCs w:val="22"/>
        </w:rPr>
        <w:object w:dxaOrig="5440" w:dyaOrig="1080" w14:anchorId="4A87717B">
          <v:shape id="_x0000_i1026" type="#_x0000_t75" style="width:271.9pt;height:54pt" o:ole="">
            <v:imagedata r:id="rId11" o:title=""/>
          </v:shape>
          <o:OLEObject Type="Embed" ProgID="Equation.DSMT4" ShapeID="_x0000_i1026" DrawAspect="Content" ObjectID="_1800861517" r:id="rId12"/>
        </w:object>
      </w:r>
      <w:r w:rsidRPr="005B5AB4">
        <w:rPr>
          <w:sz w:val="22"/>
          <w:szCs w:val="22"/>
        </w:rPr>
        <w:t xml:space="preserve">  </w:t>
      </w:r>
      <w:r w:rsidRPr="005B5AB4">
        <w:rPr>
          <w:sz w:val="22"/>
          <w:szCs w:val="22"/>
        </w:rPr>
        <w:tab/>
        <w:t xml:space="preserve">  (A.1)</w:t>
      </w:r>
    </w:p>
    <w:p w14:paraId="57664794" w14:textId="77777777" w:rsidR="002619BF" w:rsidRPr="005B5AB4" w:rsidRDefault="002619BF">
      <w:pPr>
        <w:pStyle w:val="Heading1"/>
        <w:numPr>
          <w:ilvl w:val="0"/>
          <w:numId w:val="0"/>
        </w:numPr>
        <w:rPr>
          <w:sz w:val="22"/>
        </w:rPr>
      </w:pPr>
      <w:r w:rsidRPr="005B5AB4">
        <w:rPr>
          <w:sz w:val="22"/>
        </w:rPr>
        <w:t>References</w:t>
      </w:r>
    </w:p>
    <w:p w14:paraId="09D4E21E" w14:textId="77777777" w:rsidR="002619BF" w:rsidRPr="005B5AB4" w:rsidRDefault="002619BF">
      <w:pPr>
        <w:pStyle w:val="Text"/>
        <w:rPr>
          <w:sz w:val="22"/>
        </w:rPr>
      </w:pPr>
      <w:r w:rsidRPr="005B5AB4">
        <w:rPr>
          <w:sz w:val="22"/>
        </w:rPr>
        <w:t>The references section should be labeled “References” and should appear at the end of the paper. Authors should follow a consistent format for the reference entries. For journal names, use the standard abbreviations. A sample format is given in the following pages.</w:t>
      </w:r>
    </w:p>
    <w:p w14:paraId="46F35B36" w14:textId="77777777" w:rsidR="002619BF" w:rsidRPr="005B5AB4" w:rsidRDefault="002619BF">
      <w:pPr>
        <w:pStyle w:val="Heading2"/>
        <w:numPr>
          <w:ilvl w:val="0"/>
          <w:numId w:val="0"/>
        </w:numPr>
        <w:rPr>
          <w:sz w:val="22"/>
        </w:rPr>
      </w:pPr>
      <w:r w:rsidRPr="005B5AB4">
        <w:rPr>
          <w:sz w:val="22"/>
        </w:rPr>
        <w:t>Citations in Text</w:t>
      </w:r>
    </w:p>
    <w:p w14:paraId="00FEF6F2" w14:textId="77777777" w:rsidR="002619BF" w:rsidRPr="005B5AB4" w:rsidRDefault="002619BF">
      <w:pPr>
        <w:pStyle w:val="TextIndent"/>
        <w:ind w:firstLine="0"/>
      </w:pPr>
      <w:r w:rsidRPr="005B5AB4">
        <w:t xml:space="preserve">Since the references are unnumbered, citations in the text must identify them by authors’ names and year of publication. References should be cited in text in parentheses by giving the “chosen” surname of the author and the date of publication, e.g. Shaharir (2000) or (Shaharir 2000).  For papers by two authors, write it as Maslina and Thomas (2000), or as (Maslina &amp; Thomas 2000). </w:t>
      </w:r>
    </w:p>
    <w:p w14:paraId="50544A99" w14:textId="77777777" w:rsidR="002619BF" w:rsidRPr="005B5AB4" w:rsidRDefault="002619BF">
      <w:pPr>
        <w:pStyle w:val="TextIndent"/>
      </w:pPr>
      <w:r w:rsidRPr="005B5AB4">
        <w:t>Papers by three or more authors should be cited by giving the first author’s surname followed by et al. and the year (note that et al. is in italics and that a period follows the abbreviation al.).</w:t>
      </w:r>
    </w:p>
    <w:p w14:paraId="4CBEC1A0" w14:textId="77777777" w:rsidR="002619BF" w:rsidRPr="005B5AB4" w:rsidRDefault="002619BF">
      <w:pPr>
        <w:pStyle w:val="TextIndent"/>
      </w:pPr>
      <w:r w:rsidRPr="005B5AB4">
        <w:t xml:space="preserve">References are generally written in parentheses unless the author’s name is part of the sentence, e.g. “the a-model (Abdul Aziz </w:t>
      </w:r>
      <w:r w:rsidRPr="005B5AB4">
        <w:rPr>
          <w:i/>
          <w:iCs/>
        </w:rPr>
        <w:t>et al.</w:t>
      </w:r>
      <w:r w:rsidRPr="005B5AB4">
        <w:t xml:space="preserve"> 2001)” but “according to Abdul Aziz </w:t>
      </w:r>
      <w:r w:rsidRPr="005B5AB4">
        <w:rPr>
          <w:i/>
          <w:iCs/>
        </w:rPr>
        <w:t>et al.</w:t>
      </w:r>
      <w:r w:rsidRPr="005B5AB4">
        <w:t xml:space="preserve"> (2001).” If a citation cites two or more papers, they should be separated by a semicolon: (Zaidi &amp; Othman 2001; Abdul Razak 2002). </w:t>
      </w:r>
    </w:p>
    <w:p w14:paraId="4D16E799" w14:textId="77777777" w:rsidR="002619BF" w:rsidRPr="005B5AB4" w:rsidRDefault="002619BF">
      <w:pPr>
        <w:pStyle w:val="TextIndent"/>
      </w:pPr>
      <w:r w:rsidRPr="005B5AB4">
        <w:t>If two or more papers by the same author(s) are cited together, the author(s) should be listed once, with the dates of the papers separated by a semicolon: (</w:t>
      </w:r>
      <w:r w:rsidRPr="005B5AB4">
        <w:rPr>
          <w:color w:val="000000"/>
        </w:rPr>
        <w:t>Mohd Salmi</w:t>
      </w:r>
      <w:r w:rsidRPr="005B5AB4">
        <w:t xml:space="preserve"> 2003; 2000). Papers by the same author(s) are distinguished by appending a, b, c, etc., to the date: e.g. (Hashim &amp; Wilson 1999a; 1999b).</w:t>
      </w:r>
    </w:p>
    <w:p w14:paraId="02BFB592" w14:textId="77777777" w:rsidR="002619BF" w:rsidRPr="005B5AB4" w:rsidRDefault="002619BF">
      <w:pPr>
        <w:pStyle w:val="Heading2"/>
        <w:numPr>
          <w:ilvl w:val="0"/>
          <w:numId w:val="0"/>
        </w:numPr>
        <w:rPr>
          <w:sz w:val="22"/>
        </w:rPr>
      </w:pPr>
      <w:r w:rsidRPr="005B5AB4">
        <w:rPr>
          <w:sz w:val="22"/>
        </w:rPr>
        <w:lastRenderedPageBreak/>
        <w:t xml:space="preserve">Reference List  </w:t>
      </w:r>
    </w:p>
    <w:p w14:paraId="0FA5657A" w14:textId="77777777" w:rsidR="002619BF" w:rsidRPr="005B5AB4" w:rsidRDefault="002619BF">
      <w:pPr>
        <w:pStyle w:val="Text"/>
        <w:rPr>
          <w:sz w:val="22"/>
          <w:lang w:val="ms-MY"/>
        </w:rPr>
      </w:pPr>
      <w:r w:rsidRPr="005B5AB4">
        <w:rPr>
          <w:sz w:val="22"/>
        </w:rPr>
        <w:t xml:space="preserve">Reference entries should be ordered alphabetically. When the </w:t>
      </w:r>
      <w:r w:rsidRPr="005B5AB4">
        <w:rPr>
          <w:i/>
          <w:iCs/>
          <w:sz w:val="22"/>
        </w:rPr>
        <w:t>full names</w:t>
      </w:r>
      <w:r w:rsidRPr="005B5AB4">
        <w:rPr>
          <w:sz w:val="22"/>
        </w:rPr>
        <w:t xml:space="preserve"> of authors’ of a reference are available, author should take note that the naming convention is as follows (also refer to the sample references below): the entry should begin with the chosen surname of the first author, followed by the first author’s initial(s), and so on for the additional author(s), where applicable. E.g. </w:t>
      </w:r>
      <w:r w:rsidR="004D2107" w:rsidRPr="005B5AB4">
        <w:rPr>
          <w:sz w:val="22"/>
          <w:lang w:val="ms-MY"/>
        </w:rPr>
        <w:t>Cameron K.S.</w:t>
      </w:r>
      <w:r w:rsidRPr="005B5AB4">
        <w:rPr>
          <w:sz w:val="22"/>
          <w:lang w:val="ms-MY"/>
        </w:rPr>
        <w:t xml:space="preserve"> Whenever in </w:t>
      </w:r>
      <w:r w:rsidRPr="005B5AB4">
        <w:rPr>
          <w:i/>
          <w:iCs/>
          <w:sz w:val="22"/>
          <w:lang w:val="ms-MY"/>
        </w:rPr>
        <w:t>doubt</w:t>
      </w:r>
      <w:r w:rsidRPr="005B5AB4">
        <w:rPr>
          <w:sz w:val="22"/>
          <w:lang w:val="ms-MY"/>
        </w:rPr>
        <w:t xml:space="preserve">, authors are advised to use this convention. Note that </w:t>
      </w:r>
      <w:r w:rsidRPr="005B5AB4">
        <w:rPr>
          <w:i/>
          <w:iCs/>
          <w:sz w:val="22"/>
          <w:lang w:val="ms-MY"/>
        </w:rPr>
        <w:t>no comma</w:t>
      </w:r>
      <w:r w:rsidRPr="005B5AB4">
        <w:rPr>
          <w:sz w:val="22"/>
          <w:lang w:val="ms-MY"/>
        </w:rPr>
        <w:t xml:space="preserve"> is used after the surname. </w:t>
      </w:r>
    </w:p>
    <w:p w14:paraId="5732BF14" w14:textId="77777777" w:rsidR="002619BF" w:rsidRPr="005B5AB4" w:rsidRDefault="002619BF">
      <w:pPr>
        <w:pStyle w:val="TextIndent"/>
      </w:pPr>
      <w:r w:rsidRPr="005B5AB4">
        <w:t>It is important to note that for authors that do not carry a surname, which applies to the Malays, the Arabs, and the Indians, for examples; use the author’s chosen name (usually it is the first name), followed by the first author’s initial(s), and so on for the additional authors, where applicable. E.g. Abdul Aziz J., Lukman Z.M. &amp; Wan Norsiah M. Refer to sample references below for some examples.</w:t>
      </w:r>
    </w:p>
    <w:p w14:paraId="50D9573A" w14:textId="77777777" w:rsidR="002619BF" w:rsidRPr="005B5AB4" w:rsidRDefault="002619BF">
      <w:pPr>
        <w:pStyle w:val="Text"/>
        <w:ind w:firstLine="284"/>
        <w:rPr>
          <w:sz w:val="22"/>
        </w:rPr>
      </w:pPr>
      <w:r w:rsidRPr="005B5AB4">
        <w:rPr>
          <w:sz w:val="22"/>
        </w:rPr>
        <w:tab/>
        <w:t>Multiple entries for one author or one group of authors should be ordered chronologically, and multiple entries for the same year (including references with three authors that may be cited in the text as “</w:t>
      </w:r>
      <w:r w:rsidRPr="005B5AB4">
        <w:rPr>
          <w:i/>
          <w:iCs/>
          <w:sz w:val="22"/>
        </w:rPr>
        <w:t>et al.</w:t>
      </w:r>
      <w:r w:rsidRPr="005B5AB4">
        <w:rPr>
          <w:sz w:val="22"/>
        </w:rPr>
        <w:t>”) should be distinguished by appending sequential lowercase letters to the year; e.g. Hashim &amp; Wilson. 1999a, Hashim &amp; Wilson. 1999b; etc..</w:t>
      </w:r>
    </w:p>
    <w:p w14:paraId="3CF43AAA" w14:textId="77777777" w:rsidR="002619BF" w:rsidRPr="005B5AB4" w:rsidRDefault="002619BF">
      <w:pPr>
        <w:pStyle w:val="Text"/>
        <w:ind w:firstLine="284"/>
        <w:rPr>
          <w:sz w:val="22"/>
        </w:rPr>
      </w:pPr>
      <w:r w:rsidRPr="005B5AB4">
        <w:rPr>
          <w:sz w:val="22"/>
        </w:rPr>
        <w:t xml:space="preserve">Typeset reference list in 9 pt roman with </w:t>
      </w:r>
      <w:r w:rsidR="00C52D45" w:rsidRPr="005B5AB4">
        <w:rPr>
          <w:sz w:val="22"/>
        </w:rPr>
        <w:t>single spacing</w:t>
      </w:r>
      <w:r w:rsidRPr="005B5AB4">
        <w:rPr>
          <w:sz w:val="22"/>
        </w:rPr>
        <w:t xml:space="preserve">. Finally, end the article with the </w:t>
      </w:r>
      <w:r w:rsidRPr="005B5AB4">
        <w:rPr>
          <w:i/>
          <w:iCs/>
          <w:sz w:val="22"/>
        </w:rPr>
        <w:t>contact address</w:t>
      </w:r>
      <w:r w:rsidRPr="005B5AB4">
        <w:rPr>
          <w:sz w:val="22"/>
        </w:rPr>
        <w:t xml:space="preserve"> of the author(s) in chronological order. An asterisk should be placed next to the corresponding author. See an example below.</w:t>
      </w:r>
    </w:p>
    <w:p w14:paraId="007B697F" w14:textId="77777777" w:rsidR="002619BF" w:rsidRPr="005B5AB4" w:rsidRDefault="002619BF">
      <w:pPr>
        <w:pStyle w:val="Heading1"/>
        <w:numPr>
          <w:ilvl w:val="0"/>
          <w:numId w:val="0"/>
        </w:numPr>
      </w:pPr>
      <w:r w:rsidRPr="005B5AB4">
        <w:t xml:space="preserve">References </w:t>
      </w:r>
    </w:p>
    <w:p w14:paraId="198AE988" w14:textId="77777777" w:rsidR="002619BF" w:rsidRPr="005B5AB4" w:rsidRDefault="002619BF" w:rsidP="003C5034">
      <w:pPr>
        <w:pStyle w:val="Reference"/>
        <w:spacing w:line="240" w:lineRule="auto"/>
      </w:pPr>
      <w:r w:rsidRPr="005B5AB4">
        <w:t>Abdul Aziz  J., Lu</w:t>
      </w:r>
      <w:r w:rsidR="000C4155" w:rsidRPr="005B5AB4">
        <w:t>kman Z.M. &amp; Wan Norsiah M. (eds</w:t>
      </w:r>
      <w:r w:rsidRPr="005B5AB4">
        <w:t xml:space="preserve">.). 2001. </w:t>
      </w:r>
      <w:r w:rsidRPr="005B5AB4">
        <w:rPr>
          <w:i/>
          <w:iCs/>
        </w:rPr>
        <w:t>Jaminan Sosial Warga Tua</w:t>
      </w:r>
      <w:r w:rsidRPr="005B5AB4">
        <w:t xml:space="preserve">. Kuala Lumpur: Prentice Hall.  </w:t>
      </w:r>
    </w:p>
    <w:p w14:paraId="012DC953" w14:textId="77777777" w:rsidR="002619BF" w:rsidRPr="005B5AB4" w:rsidRDefault="002619BF" w:rsidP="003C5034">
      <w:pPr>
        <w:pStyle w:val="Reference"/>
        <w:spacing w:line="240" w:lineRule="auto"/>
      </w:pPr>
      <w:r w:rsidRPr="005B5AB4">
        <w:t xml:space="preserve">Abdul Razak S. 2001. Unsur matematik dalam persuratan Melayu lama. </w:t>
      </w:r>
      <w:r w:rsidRPr="005B5AB4">
        <w:rPr>
          <w:i/>
          <w:iCs/>
        </w:rPr>
        <w:t xml:space="preserve">Invited paper. </w:t>
      </w:r>
      <w:r w:rsidRPr="005B5AB4">
        <w:t>Presented at One-day Seminar on History and Mathematical Philosophy I. University Putra Malaysia, 2 February 2001.</w:t>
      </w:r>
    </w:p>
    <w:p w14:paraId="549115A2" w14:textId="77777777" w:rsidR="000C4155" w:rsidRPr="005B5AB4" w:rsidRDefault="000C4155" w:rsidP="003C5034">
      <w:pPr>
        <w:ind w:left="340" w:hanging="340"/>
        <w:jc w:val="both"/>
        <w:rPr>
          <w:snapToGrid w:val="0"/>
          <w:sz w:val="18"/>
          <w:szCs w:val="18"/>
          <w:lang w:val="en-GB"/>
        </w:rPr>
      </w:pPr>
      <w:r w:rsidRPr="005B5AB4">
        <w:rPr>
          <w:snapToGrid w:val="0"/>
          <w:sz w:val="18"/>
          <w:szCs w:val="18"/>
          <w:lang w:val="en-GB"/>
        </w:rPr>
        <w:t xml:space="preserve">Cameron K.S. &amp; Barnett C.K. 1999. Organizational quality as a cultural variable: An empirical investigation of quality culture, processes and outcomes. In Cole R.E. &amp; Scott W.R. (eds.). </w:t>
      </w:r>
      <w:r w:rsidRPr="005B5AB4">
        <w:rPr>
          <w:i/>
          <w:snapToGrid w:val="0"/>
          <w:sz w:val="18"/>
          <w:szCs w:val="18"/>
          <w:lang w:val="en-GB"/>
        </w:rPr>
        <w:t>The Quality Movement and Organization Theory</w:t>
      </w:r>
      <w:r w:rsidRPr="005B5AB4">
        <w:rPr>
          <w:snapToGrid w:val="0"/>
          <w:sz w:val="18"/>
          <w:szCs w:val="18"/>
          <w:lang w:val="en-GB"/>
        </w:rPr>
        <w:t xml:space="preserve">: 271-294. </w:t>
      </w:r>
      <w:r w:rsidR="00E90DA9" w:rsidRPr="005B5AB4">
        <w:rPr>
          <w:snapToGrid w:val="0"/>
          <w:sz w:val="18"/>
          <w:szCs w:val="18"/>
          <w:lang w:val="en-GB"/>
        </w:rPr>
        <w:t>Thousand Oaks, CA</w:t>
      </w:r>
      <w:r w:rsidRPr="005B5AB4">
        <w:rPr>
          <w:snapToGrid w:val="0"/>
          <w:sz w:val="18"/>
          <w:szCs w:val="18"/>
          <w:lang w:val="en-GB"/>
        </w:rPr>
        <w:t>: Sage Publications Inc.</w:t>
      </w:r>
    </w:p>
    <w:p w14:paraId="5CF7CAF2" w14:textId="77777777" w:rsidR="003C5034" w:rsidRPr="005B5AB4" w:rsidRDefault="003C5034" w:rsidP="003C5034">
      <w:pPr>
        <w:ind w:left="340" w:hanging="340"/>
        <w:jc w:val="both"/>
        <w:rPr>
          <w:snapToGrid w:val="0"/>
          <w:sz w:val="18"/>
          <w:szCs w:val="18"/>
          <w:lang w:val="en-GB"/>
        </w:rPr>
      </w:pPr>
      <w:r w:rsidRPr="005B5AB4">
        <w:rPr>
          <w:snapToGrid w:val="0"/>
          <w:sz w:val="18"/>
          <w:szCs w:val="18"/>
          <w:lang w:val="en-GB"/>
        </w:rPr>
        <w:t xml:space="preserve">Confessore G., Liotta G., Cicini P., Rondinone F. &amp; De Luca P. 2009. A simulation-based approach for estimating the commercial capacity of railways. </w:t>
      </w:r>
      <w:r w:rsidRPr="005B5AB4">
        <w:rPr>
          <w:i/>
          <w:snapToGrid w:val="0"/>
          <w:sz w:val="18"/>
          <w:szCs w:val="18"/>
          <w:lang w:val="en-GB"/>
        </w:rPr>
        <w:t>Proceedings of the 2009 Winter Simulation Conference</w:t>
      </w:r>
      <w:r w:rsidRPr="005B5AB4">
        <w:rPr>
          <w:snapToGrid w:val="0"/>
          <w:sz w:val="18"/>
          <w:szCs w:val="18"/>
          <w:lang w:val="en-GB"/>
        </w:rPr>
        <w:t>, pp. 2542-2552.</w:t>
      </w:r>
    </w:p>
    <w:p w14:paraId="29318081" w14:textId="77777777" w:rsidR="002619BF" w:rsidRPr="005B5AB4" w:rsidRDefault="002619BF">
      <w:pPr>
        <w:ind w:left="340" w:hanging="340"/>
        <w:jc w:val="both"/>
        <w:rPr>
          <w:noProof/>
          <w:sz w:val="18"/>
          <w:lang w:val="ms-MY"/>
        </w:rPr>
      </w:pPr>
      <w:r w:rsidRPr="005B5AB4">
        <w:rPr>
          <w:noProof/>
          <w:sz w:val="18"/>
          <w:lang w:val="ms-MY"/>
        </w:rPr>
        <w:t xml:space="preserve">Colgate M. &amp; Lang B. 2001. Switching barriers in consumer markets: An investigation of the financial services industry. </w:t>
      </w:r>
      <w:r w:rsidRPr="005B5AB4">
        <w:rPr>
          <w:i/>
          <w:noProof/>
          <w:sz w:val="18"/>
          <w:lang w:val="ms-MY"/>
        </w:rPr>
        <w:t>Journal of Consumer Marketing</w:t>
      </w:r>
      <w:r w:rsidRPr="005B5AB4">
        <w:rPr>
          <w:noProof/>
          <w:sz w:val="18"/>
          <w:lang w:val="ms-MY"/>
        </w:rPr>
        <w:t xml:space="preserve"> </w:t>
      </w:r>
      <w:r w:rsidRPr="005B5AB4">
        <w:rPr>
          <w:b/>
          <w:noProof/>
          <w:sz w:val="18"/>
          <w:lang w:val="ms-MY"/>
        </w:rPr>
        <w:t>18</w:t>
      </w:r>
      <w:r w:rsidRPr="005B5AB4">
        <w:rPr>
          <w:noProof/>
          <w:sz w:val="18"/>
          <w:lang w:val="ms-MY"/>
        </w:rPr>
        <w:t>(4): 332-347.</w:t>
      </w:r>
    </w:p>
    <w:p w14:paraId="6B1B9F7D" w14:textId="77777777" w:rsidR="002619BF" w:rsidRPr="005B5AB4" w:rsidRDefault="002619BF">
      <w:pPr>
        <w:pStyle w:val="Reference"/>
      </w:pPr>
      <w:r w:rsidRPr="005B5AB4">
        <w:t xml:space="preserve">Darus M. &amp; Thomas D. K. 2000. The Fekete-Szego theorem for strongly close-to-convex functions. </w:t>
      </w:r>
      <w:r w:rsidRPr="005B5AB4">
        <w:rPr>
          <w:i/>
          <w:iCs/>
        </w:rPr>
        <w:t xml:space="preserve">Scientiae Mathematicae </w:t>
      </w:r>
      <w:r w:rsidRPr="005B5AB4">
        <w:rPr>
          <w:b/>
          <w:bCs/>
        </w:rPr>
        <w:t>3</w:t>
      </w:r>
      <w:r w:rsidRPr="005B5AB4">
        <w:t>(2): 201-212.</w:t>
      </w:r>
    </w:p>
    <w:p w14:paraId="1DC27B51" w14:textId="77777777" w:rsidR="002619BF" w:rsidRPr="005B5AB4" w:rsidRDefault="002619BF">
      <w:pPr>
        <w:pStyle w:val="Reference"/>
        <w:rPr>
          <w:b/>
          <w:bCs/>
        </w:rPr>
      </w:pPr>
      <w:r w:rsidRPr="005B5AB4">
        <w:t xml:space="preserve">Hashim I. &amp; Wilson S.K. 1999a. The effect of a uniform vertical magnetic field on the onset of oscillatory Marangoni convection in a horizontal layer of conducting fluid. </w:t>
      </w:r>
      <w:r w:rsidRPr="005B5AB4">
        <w:rPr>
          <w:i/>
          <w:iCs/>
        </w:rPr>
        <w:t>Int. J. Heat &amp; Mass Transfer</w:t>
      </w:r>
      <w:r w:rsidRPr="005B5AB4">
        <w:t xml:space="preserve"> </w:t>
      </w:r>
      <w:r w:rsidRPr="005B5AB4">
        <w:rPr>
          <w:b/>
          <w:bCs/>
        </w:rPr>
        <w:t>42</w:t>
      </w:r>
      <w:r w:rsidRPr="005B5AB4">
        <w:t>(3): 525-533.</w:t>
      </w:r>
      <w:r w:rsidRPr="005B5AB4">
        <w:rPr>
          <w:b/>
          <w:bCs/>
        </w:rPr>
        <w:t xml:space="preserve"> </w:t>
      </w:r>
    </w:p>
    <w:p w14:paraId="4901A479" w14:textId="77777777" w:rsidR="002619BF" w:rsidRPr="005B5AB4" w:rsidRDefault="002619BF">
      <w:pPr>
        <w:pStyle w:val="Reference"/>
      </w:pPr>
      <w:r w:rsidRPr="005B5AB4">
        <w:t xml:space="preserve">Hashim I. &amp; Wilson S.K. 1999b. The onset of oscillatory Marangoni convection in a semi-infinitely deep layer of fluid. </w:t>
      </w:r>
      <w:r w:rsidRPr="005B5AB4">
        <w:rPr>
          <w:i/>
          <w:iCs/>
        </w:rPr>
        <w:t xml:space="preserve">Z.angew.Math.Phys. (ZAMP) </w:t>
      </w:r>
      <w:r w:rsidRPr="005B5AB4">
        <w:t xml:space="preserve"> </w:t>
      </w:r>
      <w:r w:rsidRPr="005B5AB4">
        <w:rPr>
          <w:b/>
          <w:bCs/>
        </w:rPr>
        <w:t>50</w:t>
      </w:r>
      <w:r w:rsidRPr="005B5AB4">
        <w:t>(4): 546-558.</w:t>
      </w:r>
    </w:p>
    <w:p w14:paraId="5F0F8BD3" w14:textId="77777777" w:rsidR="002619BF" w:rsidRPr="005B5AB4" w:rsidRDefault="002619BF">
      <w:pPr>
        <w:ind w:left="340" w:hanging="340"/>
        <w:jc w:val="both"/>
        <w:rPr>
          <w:noProof/>
          <w:color w:val="000000"/>
          <w:sz w:val="18"/>
          <w:lang w:val="ms-MY"/>
        </w:rPr>
      </w:pPr>
      <w:r w:rsidRPr="005B5AB4">
        <w:rPr>
          <w:noProof/>
          <w:color w:val="000000"/>
          <w:sz w:val="18"/>
          <w:lang w:val="ms-MY"/>
        </w:rPr>
        <w:t xml:space="preserve">ITS Statistical Support. 2001. Equation modeling using AMOS: an introduction. </w:t>
      </w:r>
      <w:hyperlink r:id="rId13" w:history="1">
        <w:r w:rsidRPr="005B5AB4">
          <w:rPr>
            <w:rStyle w:val="Hyperlink"/>
            <w:noProof/>
            <w:color w:val="000000"/>
            <w:sz w:val="18"/>
            <w:u w:val="none"/>
            <w:lang w:val="ms-MY"/>
          </w:rPr>
          <w:t>http://www</w:t>
        </w:r>
        <w:r w:rsidRPr="005B5AB4">
          <w:rPr>
            <w:rStyle w:val="Hyperlink"/>
            <w:noProof/>
            <w:color w:val="000000"/>
            <w:sz w:val="18"/>
            <w:u w:val="none"/>
            <w:lang w:val="ms-MY"/>
          </w:rPr>
          <w:t>.</w:t>
        </w:r>
        <w:r w:rsidRPr="005B5AB4">
          <w:rPr>
            <w:rStyle w:val="Hyperlink"/>
            <w:noProof/>
            <w:color w:val="000000"/>
            <w:sz w:val="18"/>
            <w:u w:val="none"/>
            <w:lang w:val="ms-MY"/>
          </w:rPr>
          <w:t>utexas.edu/its/rc/tutorials/stat/amos/</w:t>
        </w:r>
      </w:hyperlink>
      <w:r w:rsidRPr="005B5AB4">
        <w:rPr>
          <w:noProof/>
          <w:color w:val="000000"/>
          <w:sz w:val="18"/>
          <w:lang w:val="ms-MY"/>
        </w:rPr>
        <w:t xml:space="preserve">  (20 September 2004).</w:t>
      </w:r>
    </w:p>
    <w:p w14:paraId="7273FDA2" w14:textId="77777777" w:rsidR="000C4155" w:rsidRPr="005B5AB4" w:rsidRDefault="000C4155" w:rsidP="000C4155">
      <w:pPr>
        <w:ind w:left="340" w:hanging="340"/>
        <w:jc w:val="both"/>
        <w:rPr>
          <w:noProof/>
          <w:color w:val="000000"/>
          <w:sz w:val="18"/>
          <w:lang w:val="ms-MY"/>
        </w:rPr>
      </w:pPr>
      <w:r w:rsidRPr="005B5AB4">
        <w:rPr>
          <w:noProof/>
          <w:color w:val="000000"/>
          <w:sz w:val="18"/>
          <w:lang w:val="ms-MY"/>
        </w:rPr>
        <w:t xml:space="preserve">Johnson R.A. &amp; Wichern D.W. 2002.  </w:t>
      </w:r>
      <w:r w:rsidRPr="005B5AB4">
        <w:rPr>
          <w:i/>
          <w:iCs/>
          <w:noProof/>
          <w:color w:val="000000"/>
          <w:sz w:val="18"/>
          <w:lang w:val="ms-MY"/>
        </w:rPr>
        <w:t xml:space="preserve">Applied Multivariate Statistical Analysis. </w:t>
      </w:r>
      <w:r w:rsidRPr="005B5AB4">
        <w:rPr>
          <w:noProof/>
          <w:color w:val="000000"/>
          <w:sz w:val="18"/>
          <w:lang w:val="ms-MY"/>
        </w:rPr>
        <w:t>5</w:t>
      </w:r>
      <w:r w:rsidR="00423368" w:rsidRPr="005B5AB4">
        <w:rPr>
          <w:noProof/>
          <w:color w:val="000000"/>
          <w:sz w:val="18"/>
          <w:lang w:val="ms-MY"/>
        </w:rPr>
        <w:t>th Ed</w:t>
      </w:r>
      <w:r w:rsidRPr="005B5AB4">
        <w:rPr>
          <w:noProof/>
          <w:color w:val="000000"/>
          <w:sz w:val="18"/>
          <w:lang w:val="ms-MY"/>
        </w:rPr>
        <w:t xml:space="preserve">.  </w:t>
      </w:r>
      <w:r w:rsidRPr="005B5AB4">
        <w:rPr>
          <w:noProof/>
          <w:color w:val="000000"/>
          <w:sz w:val="18"/>
        </w:rPr>
        <w:t xml:space="preserve">Upper Saddle River, </w:t>
      </w:r>
      <w:r w:rsidRPr="005B5AB4">
        <w:rPr>
          <w:iCs/>
          <w:noProof/>
          <w:color w:val="000000"/>
          <w:sz w:val="18"/>
        </w:rPr>
        <w:t>NJ</w:t>
      </w:r>
      <w:r w:rsidRPr="005B5AB4">
        <w:rPr>
          <w:noProof/>
          <w:color w:val="000000"/>
          <w:sz w:val="18"/>
          <w:lang w:val="ms-MY"/>
        </w:rPr>
        <w:t>: Prentice Hall.</w:t>
      </w:r>
    </w:p>
    <w:p w14:paraId="66D623D7" w14:textId="77777777" w:rsidR="002619BF" w:rsidRPr="005B5AB4" w:rsidRDefault="002619BF">
      <w:pPr>
        <w:pStyle w:val="Reference"/>
      </w:pPr>
      <w:r w:rsidRPr="005B5AB4">
        <w:t xml:space="preserve">Kamarulzaman I. &amp; Abdul Aziz J. 1997. On an application of sequential Bayesian techniques for estimating the fatality rate of dengue in Malaysia. </w:t>
      </w:r>
      <w:r w:rsidRPr="005B5AB4">
        <w:rPr>
          <w:i/>
          <w:iCs/>
        </w:rPr>
        <w:t xml:space="preserve">Sains Malaysiana </w:t>
      </w:r>
      <w:r w:rsidRPr="005B5AB4">
        <w:rPr>
          <w:b/>
          <w:bCs/>
        </w:rPr>
        <w:t>26</w:t>
      </w:r>
      <w:r w:rsidRPr="005B5AB4">
        <w:t>: 25-30.</w:t>
      </w:r>
    </w:p>
    <w:p w14:paraId="4029CFD7" w14:textId="77777777" w:rsidR="002619BF" w:rsidRPr="005B5AB4" w:rsidRDefault="002619BF">
      <w:pPr>
        <w:pStyle w:val="NormalWeb"/>
        <w:spacing w:before="0" w:beforeAutospacing="0" w:after="0" w:afterAutospacing="0"/>
        <w:ind w:left="288" w:hanging="288"/>
        <w:jc w:val="both"/>
        <w:rPr>
          <w:rFonts w:ascii="Times New Roman" w:hAnsi="Times New Roman" w:cs="Times New Roman"/>
          <w:sz w:val="18"/>
        </w:rPr>
      </w:pPr>
      <w:r w:rsidRPr="005B5AB4">
        <w:rPr>
          <w:rFonts w:ascii="Times New Roman" w:hAnsi="Times New Roman" w:cs="Times New Roman"/>
          <w:sz w:val="18"/>
        </w:rPr>
        <w:t>Kilibarda V. 1994. On the algebra of semigroup diagram. PhD Thesis</w:t>
      </w:r>
      <w:r w:rsidRPr="005B5AB4">
        <w:rPr>
          <w:rFonts w:ascii="Times New Roman" w:hAnsi="Times New Roman" w:cs="Times New Roman"/>
          <w:i/>
          <w:iCs/>
          <w:sz w:val="18"/>
        </w:rPr>
        <w:t xml:space="preserve">. </w:t>
      </w:r>
      <w:r w:rsidRPr="005B5AB4">
        <w:rPr>
          <w:rFonts w:ascii="Times New Roman" w:hAnsi="Times New Roman" w:cs="Times New Roman"/>
          <w:sz w:val="18"/>
        </w:rPr>
        <w:t>University of Nebraska.</w:t>
      </w:r>
    </w:p>
    <w:p w14:paraId="1F1731B1" w14:textId="77777777" w:rsidR="00423368" w:rsidRPr="005B5AB4" w:rsidRDefault="00423368" w:rsidP="00423368">
      <w:pPr>
        <w:pStyle w:val="Reference"/>
        <w:spacing w:line="240" w:lineRule="auto"/>
      </w:pPr>
      <w:r w:rsidRPr="005B5AB4">
        <w:t xml:space="preserve">Liong C.Y., Wan </w:t>
      </w:r>
      <w:proofErr w:type="spellStart"/>
      <w:r w:rsidRPr="005B5AB4">
        <w:t>Rosmanira</w:t>
      </w:r>
      <w:proofErr w:type="spellEnd"/>
      <w:r w:rsidRPr="005B5AB4">
        <w:t xml:space="preserve"> I., Omar K. &amp;  </w:t>
      </w:r>
      <w:proofErr w:type="spellStart"/>
      <w:r w:rsidRPr="005B5AB4">
        <w:t>Zirour</w:t>
      </w:r>
      <w:proofErr w:type="spellEnd"/>
      <w:r w:rsidRPr="005B5AB4">
        <w:t xml:space="preserve"> M. 2008. Vehicle routing problem: Models and solutions. </w:t>
      </w:r>
      <w:r w:rsidRPr="005B5AB4">
        <w:rPr>
          <w:i/>
        </w:rPr>
        <w:t>Journal of Quality Measurement and Analysis</w:t>
      </w:r>
      <w:r w:rsidRPr="005B5AB4">
        <w:t xml:space="preserve"> </w:t>
      </w:r>
      <w:r w:rsidRPr="005B5AB4">
        <w:rPr>
          <w:b/>
        </w:rPr>
        <w:t>4</w:t>
      </w:r>
      <w:r w:rsidRPr="005B5AB4">
        <w:t>(1): 205-218.</w:t>
      </w:r>
    </w:p>
    <w:p w14:paraId="57DA0AD2" w14:textId="77777777" w:rsidR="002619BF" w:rsidRPr="005B5AB4" w:rsidRDefault="002619BF">
      <w:pPr>
        <w:pStyle w:val="Reference"/>
      </w:pPr>
      <w:r w:rsidRPr="005B5AB4">
        <w:t xml:space="preserve">Mills E. S. 1971. The value of urban land. In Perloff H.S. (ed.). </w:t>
      </w:r>
      <w:r w:rsidRPr="005B5AB4">
        <w:rPr>
          <w:i/>
          <w:iCs/>
        </w:rPr>
        <w:t>The Quality of the Urban Environment</w:t>
      </w:r>
      <w:r w:rsidRPr="005B5AB4">
        <w:t>: 1-37.  New York: John Wiley.</w:t>
      </w:r>
    </w:p>
    <w:p w14:paraId="62DE0AFB" w14:textId="77777777" w:rsidR="002619BF" w:rsidRPr="005B5AB4" w:rsidRDefault="002619BF">
      <w:pPr>
        <w:pStyle w:val="NormalWeb"/>
        <w:spacing w:before="0" w:beforeAutospacing="0" w:after="0" w:afterAutospacing="0"/>
        <w:ind w:left="340" w:hanging="340"/>
        <w:jc w:val="both"/>
        <w:rPr>
          <w:rFonts w:ascii="Times New Roman" w:hAnsi="Times New Roman" w:cs="Times New Roman"/>
          <w:sz w:val="18"/>
        </w:rPr>
      </w:pPr>
      <w:r w:rsidRPr="005B5AB4">
        <w:rPr>
          <w:rFonts w:ascii="Times New Roman" w:hAnsi="Times New Roman" w:cs="Times New Roman"/>
          <w:sz w:val="18"/>
        </w:rPr>
        <w:t>Mohd Salmi M.N. 2003. Closed orbits of (g,τ)-extension of ergodic toral automorphisms</w:t>
      </w:r>
      <w:r w:rsidRPr="005B5AB4">
        <w:rPr>
          <w:rFonts w:ascii="Times New Roman" w:hAnsi="Times New Roman" w:cs="Times New Roman"/>
          <w:i/>
          <w:iCs/>
          <w:sz w:val="18"/>
        </w:rPr>
        <w:t>.</w:t>
      </w:r>
      <w:r w:rsidRPr="005B5AB4">
        <w:rPr>
          <w:rFonts w:ascii="Times New Roman" w:hAnsi="Times New Roman" w:cs="Times New Roman"/>
          <w:sz w:val="18"/>
        </w:rPr>
        <w:t xml:space="preserve"> </w:t>
      </w:r>
      <w:r w:rsidRPr="005B5AB4">
        <w:rPr>
          <w:rFonts w:ascii="Times New Roman" w:hAnsi="Times New Roman" w:cs="Times New Roman"/>
          <w:i/>
          <w:iCs/>
          <w:sz w:val="18"/>
        </w:rPr>
        <w:t>Int. J. Math. &amp; Math. Sci.</w:t>
      </w:r>
      <w:r w:rsidRPr="005B5AB4">
        <w:rPr>
          <w:rFonts w:ascii="Times New Roman" w:hAnsi="Times New Roman" w:cs="Times New Roman"/>
          <w:sz w:val="18"/>
        </w:rPr>
        <w:t xml:space="preserve"> </w:t>
      </w:r>
      <w:r w:rsidRPr="005B5AB4">
        <w:rPr>
          <w:rFonts w:ascii="Times New Roman" w:hAnsi="Times New Roman" w:cs="Times New Roman"/>
          <w:b/>
          <w:bCs/>
          <w:sz w:val="18"/>
        </w:rPr>
        <w:t>17</w:t>
      </w:r>
      <w:r w:rsidRPr="005B5AB4">
        <w:rPr>
          <w:rFonts w:ascii="Times New Roman" w:hAnsi="Times New Roman" w:cs="Times New Roman"/>
          <w:sz w:val="18"/>
        </w:rPr>
        <w:t xml:space="preserve">: 1047-1053. </w:t>
      </w:r>
    </w:p>
    <w:p w14:paraId="7B582036" w14:textId="77777777" w:rsidR="002619BF" w:rsidRPr="005B5AB4" w:rsidRDefault="002619BF">
      <w:pPr>
        <w:ind w:left="340" w:hanging="340"/>
        <w:jc w:val="both"/>
        <w:rPr>
          <w:noProof/>
          <w:sz w:val="18"/>
          <w:lang w:val="ms-MY"/>
        </w:rPr>
      </w:pPr>
      <w:r w:rsidRPr="005B5AB4">
        <w:rPr>
          <w:noProof/>
          <w:sz w:val="18"/>
          <w:lang w:val="ms-MY"/>
        </w:rPr>
        <w:t xml:space="preserve">Parasuraman A., Zeithaml V.A. &amp; Berry L.L. 1998. SERVQUAL: A multiple-item scale for measuring consumer perceptions of service quality. </w:t>
      </w:r>
      <w:r w:rsidRPr="005B5AB4">
        <w:rPr>
          <w:i/>
          <w:noProof/>
          <w:sz w:val="18"/>
          <w:lang w:val="ms-MY"/>
        </w:rPr>
        <w:t>Journal of Retailing</w:t>
      </w:r>
      <w:r w:rsidRPr="005B5AB4">
        <w:rPr>
          <w:noProof/>
          <w:sz w:val="18"/>
          <w:lang w:val="ms-MY"/>
        </w:rPr>
        <w:t xml:space="preserve"> </w:t>
      </w:r>
      <w:r w:rsidRPr="005B5AB4">
        <w:rPr>
          <w:b/>
          <w:noProof/>
          <w:sz w:val="18"/>
          <w:lang w:val="ms-MY"/>
        </w:rPr>
        <w:t>64</w:t>
      </w:r>
      <w:r w:rsidRPr="005B5AB4">
        <w:rPr>
          <w:noProof/>
          <w:sz w:val="18"/>
          <w:lang w:val="ms-MY"/>
        </w:rPr>
        <w:t>(1): 12-40.</w:t>
      </w:r>
    </w:p>
    <w:p w14:paraId="7ED8C06F" w14:textId="77777777" w:rsidR="002619BF" w:rsidRPr="005B5AB4" w:rsidRDefault="002619BF">
      <w:pPr>
        <w:ind w:left="340" w:hanging="340"/>
        <w:jc w:val="both"/>
        <w:rPr>
          <w:noProof/>
          <w:color w:val="000000"/>
          <w:sz w:val="18"/>
          <w:lang w:val="ms-MY"/>
        </w:rPr>
      </w:pPr>
      <w:r w:rsidRPr="005B5AB4">
        <w:rPr>
          <w:noProof/>
          <w:color w:val="000000"/>
          <w:sz w:val="18"/>
          <w:lang w:val="ms-MY"/>
        </w:rPr>
        <w:lastRenderedPageBreak/>
        <w:t xml:space="preserve">Rigdon E. 1996. The form of structural equation models. </w:t>
      </w:r>
      <w:r w:rsidRPr="005B5AB4">
        <w:rPr>
          <w:noProof/>
          <w:color w:val="000000"/>
          <w:sz w:val="18"/>
          <w:lang w:val="ms-MY"/>
        </w:rPr>
        <w:t>http ://ww</w:t>
      </w:r>
      <w:r w:rsidRPr="005B5AB4">
        <w:rPr>
          <w:noProof/>
          <w:color w:val="000000"/>
          <w:sz w:val="18"/>
          <w:lang w:val="ms-MY"/>
        </w:rPr>
        <w:t>w</w:t>
      </w:r>
      <w:r w:rsidRPr="005B5AB4">
        <w:rPr>
          <w:noProof/>
          <w:color w:val="000000"/>
          <w:sz w:val="18"/>
          <w:lang w:val="ms-MY"/>
        </w:rPr>
        <w:t>.gsu.edu/~mkte</w:t>
      </w:r>
      <w:r w:rsidRPr="005B5AB4">
        <w:rPr>
          <w:noProof/>
          <w:color w:val="000000"/>
          <w:sz w:val="18"/>
          <w:lang w:val="ms-MY"/>
        </w:rPr>
        <w:t>e</w:t>
      </w:r>
      <w:r w:rsidRPr="005B5AB4">
        <w:rPr>
          <w:noProof/>
          <w:color w:val="000000"/>
          <w:sz w:val="18"/>
          <w:lang w:val="ms-MY"/>
        </w:rPr>
        <w:t>r/sem</w:t>
      </w:r>
      <w:r w:rsidRPr="005B5AB4">
        <w:rPr>
          <w:noProof/>
          <w:color w:val="000000"/>
          <w:sz w:val="18"/>
          <w:lang w:val="ms-MY"/>
        </w:rPr>
        <w:t>2.html (15 April 2004).</w:t>
      </w:r>
    </w:p>
    <w:p w14:paraId="5C5B563D" w14:textId="77777777" w:rsidR="002619BF" w:rsidRPr="005B5AB4" w:rsidRDefault="002619BF">
      <w:pPr>
        <w:pStyle w:val="NormalWeb"/>
        <w:spacing w:before="0" w:beforeAutospacing="0" w:after="0" w:afterAutospacing="0"/>
        <w:ind w:left="340" w:hanging="340"/>
        <w:jc w:val="both"/>
        <w:rPr>
          <w:rFonts w:ascii="Times New Roman" w:hAnsi="Times New Roman" w:cs="Times New Roman"/>
          <w:sz w:val="18"/>
        </w:rPr>
      </w:pPr>
      <w:r w:rsidRPr="005B5AB4">
        <w:rPr>
          <w:rFonts w:ascii="Times New Roman" w:hAnsi="Times New Roman" w:cs="Times New Roman"/>
          <w:sz w:val="18"/>
        </w:rPr>
        <w:t xml:space="preserve">Ravichandran  V.,  Gangadharan A.  &amp;  Darus M. 2004. On Fekete-Szego inequality for certain class of Bazilevic functions. </w:t>
      </w:r>
      <w:r w:rsidRPr="005B5AB4">
        <w:rPr>
          <w:rFonts w:ascii="Times New Roman" w:hAnsi="Times New Roman" w:cs="Times New Roman"/>
          <w:i/>
          <w:iCs/>
          <w:sz w:val="18"/>
        </w:rPr>
        <w:t>Far East J. of Math. Sc. (FJMS)</w:t>
      </w:r>
      <w:r w:rsidRPr="005B5AB4">
        <w:rPr>
          <w:rFonts w:ascii="Times New Roman" w:hAnsi="Times New Roman" w:cs="Times New Roman"/>
          <w:sz w:val="18"/>
        </w:rPr>
        <w:t xml:space="preserve">.  </w:t>
      </w:r>
      <w:r w:rsidRPr="005B5AB4">
        <w:rPr>
          <w:rFonts w:ascii="Times New Roman" w:hAnsi="Times New Roman" w:cs="Times New Roman"/>
          <w:i/>
          <w:iCs/>
          <w:sz w:val="18"/>
        </w:rPr>
        <w:t>Accepted</w:t>
      </w:r>
      <w:r w:rsidRPr="005B5AB4">
        <w:rPr>
          <w:rFonts w:ascii="Times New Roman" w:hAnsi="Times New Roman" w:cs="Times New Roman"/>
          <w:sz w:val="18"/>
        </w:rPr>
        <w:t>.</w:t>
      </w:r>
    </w:p>
    <w:p w14:paraId="37083C00" w14:textId="77777777" w:rsidR="002619BF" w:rsidRPr="005B5AB4" w:rsidRDefault="002619BF">
      <w:pPr>
        <w:pStyle w:val="Reference"/>
      </w:pPr>
      <w:r w:rsidRPr="005B5AB4">
        <w:t xml:space="preserve">Shaharir M.Z. 1998. A review of Islamic socio-scientific order and world system by Mahmud Alam Choudry. </w:t>
      </w:r>
      <w:r w:rsidRPr="005B5AB4">
        <w:rPr>
          <w:i/>
          <w:iCs/>
        </w:rPr>
        <w:t xml:space="preserve">Muslim Education Quarterly </w:t>
      </w:r>
      <w:r w:rsidRPr="005B5AB4">
        <w:rPr>
          <w:b/>
          <w:bCs/>
        </w:rPr>
        <w:t>16</w:t>
      </w:r>
      <w:r w:rsidRPr="005B5AB4">
        <w:t>(1): 83-87.</w:t>
      </w:r>
    </w:p>
    <w:p w14:paraId="51F29DAC" w14:textId="77777777" w:rsidR="002619BF" w:rsidRPr="005B5AB4" w:rsidRDefault="002619BF">
      <w:pPr>
        <w:pStyle w:val="Reference"/>
      </w:pPr>
      <w:r w:rsidRPr="005B5AB4">
        <w:t>Shaharir M.Z.</w:t>
      </w:r>
      <w:r w:rsidRPr="005B5AB4">
        <w:rPr>
          <w:b/>
          <w:bCs/>
          <w:i/>
          <w:iCs/>
        </w:rPr>
        <w:t xml:space="preserve"> </w:t>
      </w:r>
      <w:r w:rsidRPr="005B5AB4">
        <w:t xml:space="preserve">2002. </w:t>
      </w:r>
      <w:r w:rsidRPr="005B5AB4">
        <w:rPr>
          <w:i/>
          <w:iCs/>
        </w:rPr>
        <w:t>Fungsi Matematik Teritlak</w:t>
      </w:r>
      <w:r w:rsidRPr="005B5AB4">
        <w:t>. Bangi:</w:t>
      </w:r>
      <w:r w:rsidRPr="005B5AB4">
        <w:rPr>
          <w:noProof/>
          <w:lang w:val="ms-MY"/>
        </w:rPr>
        <w:t xml:space="preserve"> Penerbit Universiti Kebangsaan Malaysia.</w:t>
      </w:r>
    </w:p>
    <w:p w14:paraId="6397A8DF" w14:textId="77777777" w:rsidR="002619BF" w:rsidRPr="005B5AB4" w:rsidRDefault="002619BF">
      <w:pPr>
        <w:pStyle w:val="Reference"/>
      </w:pPr>
      <w:r w:rsidRPr="005B5AB4">
        <w:t xml:space="preserve">Zaidi I. &amp; Othman Y. 2001. Initial performance of new issues of shares in Malaysia. </w:t>
      </w:r>
      <w:r w:rsidRPr="005B5AB4">
        <w:rPr>
          <w:i/>
        </w:rPr>
        <w:t>Proceedings of the Malaysian Finance Association. 3</w:t>
      </w:r>
      <w:r w:rsidRPr="005B5AB4">
        <w:rPr>
          <w:i/>
          <w:vertAlign w:val="superscript"/>
        </w:rPr>
        <w:t>rd.</w:t>
      </w:r>
      <w:r w:rsidRPr="005B5AB4">
        <w:rPr>
          <w:i/>
        </w:rPr>
        <w:t xml:space="preserve"> Annual Symposium</w:t>
      </w:r>
      <w:r w:rsidRPr="005B5AB4">
        <w:t xml:space="preserve"> in IIUM, Kuala Lumpur.</w:t>
      </w:r>
    </w:p>
    <w:p w14:paraId="4C36679A" w14:textId="77777777" w:rsidR="002619BF" w:rsidRPr="005B5AB4" w:rsidRDefault="002619BF">
      <w:pPr>
        <w:pStyle w:val="Reference"/>
        <w:rPr>
          <w:color w:val="800080"/>
        </w:rPr>
      </w:pPr>
      <w:r w:rsidRPr="005B5AB4">
        <w:tab/>
      </w:r>
      <w:r w:rsidRPr="005B5AB4">
        <w:tab/>
      </w:r>
    </w:p>
    <w:p w14:paraId="5E314AB2" w14:textId="77777777" w:rsidR="002619BF" w:rsidRPr="005B5AB4" w:rsidRDefault="002619BF">
      <w:pPr>
        <w:pStyle w:val="Affiliation"/>
        <w:spacing w:after="0"/>
        <w:jc w:val="left"/>
        <w:rPr>
          <w:sz w:val="20"/>
        </w:rPr>
      </w:pPr>
    </w:p>
    <w:p w14:paraId="240B8102" w14:textId="77777777" w:rsidR="002619BF" w:rsidRPr="005B5AB4" w:rsidRDefault="002619BF">
      <w:pPr>
        <w:pStyle w:val="Affiliation"/>
        <w:spacing w:after="0"/>
        <w:jc w:val="left"/>
        <w:rPr>
          <w:sz w:val="20"/>
        </w:rPr>
      </w:pPr>
    </w:p>
    <w:p w14:paraId="6860E43E" w14:textId="77777777" w:rsidR="002619BF" w:rsidRPr="005B5AB4" w:rsidRDefault="002619BF">
      <w:pPr>
        <w:pStyle w:val="Affiliation"/>
        <w:spacing w:after="0"/>
        <w:jc w:val="left"/>
        <w:rPr>
          <w:sz w:val="20"/>
        </w:rPr>
      </w:pPr>
      <w:r w:rsidRPr="005B5AB4">
        <w:rPr>
          <w:sz w:val="20"/>
        </w:rPr>
        <w:t xml:space="preserve">University Department, University Name </w:t>
      </w:r>
    </w:p>
    <w:p w14:paraId="68211967" w14:textId="77777777" w:rsidR="002619BF" w:rsidRPr="005B5AB4" w:rsidRDefault="002619BF">
      <w:pPr>
        <w:pStyle w:val="Affiliation"/>
        <w:spacing w:after="0"/>
        <w:jc w:val="left"/>
        <w:rPr>
          <w:sz w:val="20"/>
        </w:rPr>
      </w:pPr>
      <w:r w:rsidRPr="005B5AB4">
        <w:rPr>
          <w:sz w:val="20"/>
        </w:rPr>
        <w:t xml:space="preserve">Address, City, State ZIP/Zone, </w:t>
      </w:r>
      <w:r w:rsidR="00FC7380" w:rsidRPr="005B5AB4">
        <w:rPr>
          <w:sz w:val="20"/>
        </w:rPr>
        <w:t>COUNTRY</w:t>
      </w:r>
      <w:r w:rsidRPr="005B5AB4">
        <w:rPr>
          <w:sz w:val="20"/>
        </w:rPr>
        <w:br/>
        <w:t>E-mail</w:t>
      </w:r>
      <w:r w:rsidRPr="005B5AB4">
        <w:rPr>
          <w:color w:val="000000"/>
          <w:sz w:val="20"/>
        </w:rPr>
        <w:t xml:space="preserve">:    </w:t>
      </w:r>
      <w:hyperlink r:id="rId14" w:history="1">
        <w:proofErr w:type="spellStart"/>
        <w:r w:rsidRPr="005B5AB4">
          <w:rPr>
            <w:rStyle w:val="Hyperlink"/>
            <w:color w:val="000000"/>
            <w:sz w:val="20"/>
            <w:u w:val="none"/>
          </w:rPr>
          <w:t>firstauthor_id@domain_name</w:t>
        </w:r>
        <w:proofErr w:type="spellEnd"/>
      </w:hyperlink>
    </w:p>
    <w:p w14:paraId="58D8806C" w14:textId="77777777" w:rsidR="002619BF" w:rsidRPr="005B5AB4" w:rsidRDefault="002619BF">
      <w:pPr>
        <w:pStyle w:val="Affiliation"/>
        <w:spacing w:after="0"/>
        <w:jc w:val="left"/>
        <w:rPr>
          <w:sz w:val="20"/>
        </w:rPr>
      </w:pPr>
    </w:p>
    <w:p w14:paraId="04C3A0AE" w14:textId="77777777" w:rsidR="002619BF" w:rsidRPr="005B5AB4" w:rsidRDefault="002619BF">
      <w:pPr>
        <w:pStyle w:val="Affiliation"/>
        <w:spacing w:after="0"/>
        <w:jc w:val="left"/>
        <w:rPr>
          <w:sz w:val="20"/>
        </w:rPr>
      </w:pPr>
      <w:r w:rsidRPr="005B5AB4">
        <w:rPr>
          <w:sz w:val="20"/>
        </w:rPr>
        <w:t xml:space="preserve">University Department, University Name </w:t>
      </w:r>
    </w:p>
    <w:p w14:paraId="5FF7E6D6" w14:textId="77777777" w:rsidR="002619BF" w:rsidRPr="005B5AB4" w:rsidRDefault="002619BF">
      <w:pPr>
        <w:pStyle w:val="Affiliation"/>
        <w:spacing w:after="0"/>
        <w:jc w:val="left"/>
        <w:rPr>
          <w:sz w:val="20"/>
        </w:rPr>
      </w:pPr>
      <w:r w:rsidRPr="005B5AB4">
        <w:rPr>
          <w:sz w:val="20"/>
        </w:rPr>
        <w:t xml:space="preserve">Address, City, State ZIP/Zone, </w:t>
      </w:r>
      <w:r w:rsidR="00FC7380" w:rsidRPr="005B5AB4">
        <w:rPr>
          <w:sz w:val="20"/>
        </w:rPr>
        <w:t>COUNTRY</w:t>
      </w:r>
      <w:r w:rsidRPr="005B5AB4">
        <w:rPr>
          <w:sz w:val="20"/>
        </w:rPr>
        <w:br/>
        <w:t xml:space="preserve">E-mail:  </w:t>
      </w:r>
      <w:r w:rsidRPr="005B5AB4">
        <w:rPr>
          <w:color w:val="000000"/>
          <w:sz w:val="20"/>
        </w:rPr>
        <w:t xml:space="preserve"> </w:t>
      </w:r>
      <w:hyperlink r:id="rId15" w:history="1">
        <w:proofErr w:type="spellStart"/>
        <w:r w:rsidRPr="005B5AB4">
          <w:rPr>
            <w:rStyle w:val="Hyperlink"/>
            <w:color w:val="000000"/>
            <w:sz w:val="20"/>
            <w:u w:val="none"/>
          </w:rPr>
          <w:t>secondauthor_id@domain_name</w:t>
        </w:r>
        <w:proofErr w:type="spellEnd"/>
      </w:hyperlink>
      <w:r w:rsidR="00C55894" w:rsidRPr="005B5AB4">
        <w:rPr>
          <w:rStyle w:val="FootnoteReference"/>
          <w:color w:val="000000"/>
          <w:sz w:val="20"/>
        </w:rPr>
        <w:footnoteReference w:customMarkFollows="1" w:id="2"/>
        <w:t>*</w:t>
      </w:r>
    </w:p>
    <w:p w14:paraId="445F7F5A" w14:textId="77777777" w:rsidR="002619BF" w:rsidRPr="005B5AB4" w:rsidRDefault="002619BF">
      <w:pPr>
        <w:pStyle w:val="Affiliation"/>
        <w:spacing w:after="0"/>
        <w:jc w:val="left"/>
        <w:rPr>
          <w:sz w:val="18"/>
        </w:rPr>
      </w:pPr>
    </w:p>
    <w:p w14:paraId="1EA570D8" w14:textId="77777777" w:rsidR="002619BF" w:rsidRPr="005B5AB4" w:rsidRDefault="002619BF">
      <w:pPr>
        <w:pStyle w:val="Affiliation"/>
        <w:spacing w:after="0"/>
        <w:jc w:val="left"/>
        <w:rPr>
          <w:sz w:val="18"/>
        </w:rPr>
      </w:pPr>
    </w:p>
    <w:p w14:paraId="4BE6DD71" w14:textId="77777777" w:rsidR="002619BF" w:rsidRPr="005B5AB4" w:rsidRDefault="002619BF">
      <w:pPr>
        <w:pStyle w:val="Affiliation"/>
        <w:spacing w:after="0"/>
        <w:jc w:val="left"/>
        <w:rPr>
          <w:sz w:val="18"/>
        </w:rPr>
      </w:pPr>
      <w:r w:rsidRPr="005B5AB4">
        <w:rPr>
          <w:b/>
          <w:bCs/>
          <w:color w:val="800000"/>
          <w:sz w:val="18"/>
        </w:rPr>
        <w:t>An Example</w:t>
      </w:r>
      <w:r w:rsidRPr="005B5AB4">
        <w:rPr>
          <w:color w:val="800000"/>
          <w:sz w:val="18"/>
        </w:rPr>
        <w:t xml:space="preserve"> </w:t>
      </w:r>
      <w:r w:rsidRPr="005B5AB4">
        <w:rPr>
          <w:sz w:val="18"/>
        </w:rPr>
        <w:t>(for this example, all authors are from the same institution):</w:t>
      </w:r>
    </w:p>
    <w:p w14:paraId="72CA231F" w14:textId="77777777" w:rsidR="002619BF" w:rsidRPr="005B5AB4" w:rsidRDefault="002619BF">
      <w:pPr>
        <w:pStyle w:val="Affiliation"/>
        <w:spacing w:after="0"/>
        <w:jc w:val="left"/>
        <w:rPr>
          <w:sz w:val="18"/>
        </w:rPr>
      </w:pPr>
    </w:p>
    <w:p w14:paraId="4FB24BC1" w14:textId="77777777" w:rsidR="002619BF" w:rsidRPr="005B5AB4" w:rsidRDefault="002619BF">
      <w:pPr>
        <w:pStyle w:val="Affiliation"/>
        <w:spacing w:after="0"/>
        <w:jc w:val="left"/>
        <w:rPr>
          <w:sz w:val="18"/>
        </w:rPr>
      </w:pPr>
    </w:p>
    <w:p w14:paraId="06110FBF" w14:textId="77777777" w:rsidR="002619BF" w:rsidRPr="005B5AB4" w:rsidRDefault="00425147">
      <w:pPr>
        <w:pStyle w:val="Affiliation"/>
        <w:spacing w:after="0"/>
        <w:jc w:val="left"/>
        <w:rPr>
          <w:sz w:val="20"/>
          <w:szCs w:val="20"/>
        </w:rPr>
      </w:pPr>
      <w:r w:rsidRPr="005B5AB4">
        <w:rPr>
          <w:sz w:val="20"/>
          <w:szCs w:val="20"/>
        </w:rPr>
        <w:t>Department of Mathematical Sciences</w:t>
      </w:r>
    </w:p>
    <w:p w14:paraId="5795C3B0" w14:textId="77777777" w:rsidR="002619BF" w:rsidRPr="005B5AB4" w:rsidRDefault="002619BF">
      <w:pPr>
        <w:pStyle w:val="Affiliation"/>
        <w:spacing w:after="0"/>
        <w:jc w:val="left"/>
        <w:rPr>
          <w:sz w:val="20"/>
          <w:szCs w:val="20"/>
        </w:rPr>
      </w:pPr>
      <w:r w:rsidRPr="005B5AB4">
        <w:rPr>
          <w:sz w:val="20"/>
          <w:szCs w:val="20"/>
        </w:rPr>
        <w:t xml:space="preserve">Faculty of Science and Technology </w:t>
      </w:r>
    </w:p>
    <w:p w14:paraId="278124B6" w14:textId="77777777" w:rsidR="002619BF" w:rsidRPr="005B5AB4" w:rsidRDefault="002619BF">
      <w:pPr>
        <w:pStyle w:val="Affiliation"/>
        <w:spacing w:after="0"/>
        <w:jc w:val="left"/>
        <w:rPr>
          <w:sz w:val="20"/>
          <w:szCs w:val="20"/>
        </w:rPr>
      </w:pPr>
      <w:r w:rsidRPr="005B5AB4">
        <w:rPr>
          <w:sz w:val="20"/>
          <w:szCs w:val="20"/>
        </w:rPr>
        <w:t>Universiti Kebangsaan Malaysia</w:t>
      </w:r>
    </w:p>
    <w:p w14:paraId="206A1191" w14:textId="77777777" w:rsidR="002619BF" w:rsidRPr="005B5AB4" w:rsidRDefault="002619BF">
      <w:pPr>
        <w:pStyle w:val="Affiliation"/>
        <w:spacing w:after="0"/>
        <w:jc w:val="left"/>
        <w:rPr>
          <w:sz w:val="20"/>
          <w:szCs w:val="20"/>
        </w:rPr>
      </w:pPr>
      <w:r w:rsidRPr="005B5AB4">
        <w:rPr>
          <w:sz w:val="20"/>
          <w:szCs w:val="20"/>
        </w:rPr>
        <w:t>43600 UKM Bangi</w:t>
      </w:r>
    </w:p>
    <w:p w14:paraId="2030AB0A" w14:textId="77777777" w:rsidR="002619BF" w:rsidRPr="005B5AB4" w:rsidRDefault="002619BF">
      <w:pPr>
        <w:pStyle w:val="Affiliation"/>
        <w:spacing w:after="0"/>
        <w:jc w:val="left"/>
        <w:rPr>
          <w:sz w:val="20"/>
          <w:szCs w:val="20"/>
        </w:rPr>
      </w:pPr>
      <w:r w:rsidRPr="005B5AB4">
        <w:rPr>
          <w:sz w:val="20"/>
          <w:szCs w:val="20"/>
        </w:rPr>
        <w:t>Selangor</w:t>
      </w:r>
      <w:r w:rsidR="00423368" w:rsidRPr="005B5AB4">
        <w:rPr>
          <w:sz w:val="20"/>
          <w:szCs w:val="20"/>
        </w:rPr>
        <w:t xml:space="preserve"> DE</w:t>
      </w:r>
      <w:r w:rsidRPr="005B5AB4">
        <w:rPr>
          <w:sz w:val="20"/>
          <w:szCs w:val="20"/>
        </w:rPr>
        <w:t>, MALAYSIA</w:t>
      </w:r>
    </w:p>
    <w:p w14:paraId="061E5D6D" w14:textId="77777777" w:rsidR="002619BF" w:rsidRPr="005B5AB4" w:rsidRDefault="002619BF">
      <w:pPr>
        <w:pStyle w:val="Affiliation"/>
        <w:spacing w:after="0"/>
        <w:jc w:val="left"/>
        <w:rPr>
          <w:sz w:val="20"/>
          <w:szCs w:val="20"/>
          <w:lang w:val="fr-FR"/>
        </w:rPr>
      </w:pPr>
      <w:r w:rsidRPr="005B5AB4">
        <w:rPr>
          <w:sz w:val="20"/>
          <w:szCs w:val="20"/>
          <w:lang w:val="fr-FR"/>
        </w:rPr>
        <w:t xml:space="preserve">E-mail:  </w:t>
      </w:r>
      <w:r w:rsidR="00FC7380" w:rsidRPr="005B5AB4">
        <w:rPr>
          <w:sz w:val="20"/>
          <w:szCs w:val="20"/>
          <w:lang w:val="fr-FR"/>
        </w:rPr>
        <w:t xml:space="preserve">  </w:t>
      </w:r>
      <w:r w:rsidR="005B5AB4" w:rsidRPr="005B5AB4">
        <w:rPr>
          <w:sz w:val="20"/>
          <w:szCs w:val="20"/>
          <w:lang w:val="fr-FR"/>
        </w:rPr>
        <w:t>author</w:t>
      </w:r>
      <w:r w:rsidR="00B45F16" w:rsidRPr="005B5AB4">
        <w:rPr>
          <w:sz w:val="20"/>
          <w:szCs w:val="20"/>
          <w:lang w:val="fr-FR"/>
        </w:rPr>
        <w:t>@</w:t>
      </w:r>
      <w:r w:rsidR="005B5AB4" w:rsidRPr="005B5AB4">
        <w:rPr>
          <w:sz w:val="20"/>
          <w:szCs w:val="20"/>
          <w:lang w:val="fr-FR"/>
        </w:rPr>
        <w:t>email.com</w:t>
      </w:r>
      <w:r w:rsidR="00B45F16" w:rsidRPr="005B5AB4">
        <w:rPr>
          <w:rStyle w:val="FootnoteReference"/>
          <w:sz w:val="20"/>
          <w:szCs w:val="20"/>
          <w:lang w:val="fr-FR"/>
        </w:rPr>
        <w:footnoteReference w:customMarkFollows="1" w:id="3"/>
        <w:t>*</w:t>
      </w:r>
      <w:r w:rsidR="00B45F16" w:rsidRPr="005B5AB4">
        <w:rPr>
          <w:sz w:val="20"/>
          <w:szCs w:val="20"/>
          <w:lang w:val="fr-FR"/>
        </w:rPr>
        <w:t>, jqma@ukm.edu.my</w:t>
      </w:r>
      <w:r w:rsidRPr="005B5AB4">
        <w:rPr>
          <w:sz w:val="20"/>
          <w:szCs w:val="20"/>
          <w:lang w:val="fr-FR"/>
        </w:rPr>
        <w:t xml:space="preserve"> </w:t>
      </w:r>
    </w:p>
    <w:p w14:paraId="55F2DA51" w14:textId="77777777" w:rsidR="00B45F16" w:rsidRDefault="00B45F16">
      <w:pPr>
        <w:pStyle w:val="Affiliation"/>
        <w:spacing w:after="0"/>
        <w:jc w:val="left"/>
        <w:rPr>
          <w:sz w:val="20"/>
          <w:szCs w:val="20"/>
          <w:lang w:val="fr-FR"/>
        </w:rPr>
      </w:pPr>
      <w:r w:rsidRPr="005B5AB4">
        <w:rPr>
          <w:noProof/>
          <w:snapToGrid/>
          <w:sz w:val="20"/>
          <w:szCs w:val="20"/>
          <w:lang w:val="ms-MY" w:eastAsia="ms-MY"/>
        </w:rPr>
        <w:pict w14:anchorId="140204C5">
          <v:shapetype id="_x0000_t32" coordsize="21600,21600" o:spt="32" o:oned="t" path="m,l21600,21600e" filled="f">
            <v:path arrowok="t" fillok="f" o:connecttype="none"/>
            <o:lock v:ext="edit" shapetype="t"/>
          </v:shapetype>
          <v:shape id="_x0000_s2094" type="#_x0000_t32" style="position:absolute;margin-left:.2pt;margin-top:63.2pt;width:86.1pt;height:.05pt;z-index:2" o:connectortype="straight"/>
        </w:pict>
      </w:r>
    </w:p>
    <w:sectPr w:rsidR="00B45F16">
      <w:headerReference w:type="even" r:id="rId16"/>
      <w:headerReference w:type="default" r:id="rId17"/>
      <w:footerReference w:type="even" r:id="rId18"/>
      <w:footerReference w:type="default" r:id="rId19"/>
      <w:headerReference w:type="first" r:id="rId20"/>
      <w:footnotePr>
        <w:numFmt w:val="chicago"/>
      </w:footnotePr>
      <w:pgSz w:w="11907" w:h="16840" w:code="9"/>
      <w:pgMar w:top="2160" w:right="1797" w:bottom="1985" w:left="1797" w:header="1304" w:footer="12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0400" w14:textId="77777777" w:rsidR="004B1AE1" w:rsidRDefault="004B1AE1">
      <w:r>
        <w:separator/>
      </w:r>
    </w:p>
  </w:endnote>
  <w:endnote w:type="continuationSeparator" w:id="0">
    <w:p w14:paraId="652E5CE6" w14:textId="77777777" w:rsidR="004B1AE1" w:rsidRDefault="004B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EB3F" w14:textId="77777777" w:rsidR="002619BF" w:rsidRDefault="002619BF">
    <w:pPr>
      <w:pStyle w:val="Footer"/>
      <w:ind w:right="360"/>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425147">
      <w:rPr>
        <w:rStyle w:val="PageNumber"/>
        <w:noProof/>
        <w:sz w:val="22"/>
      </w:rPr>
      <w:t>6</w:t>
    </w:r>
    <w:r>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A33B" w14:textId="77777777" w:rsidR="002619BF" w:rsidRDefault="002619BF">
    <w:pPr>
      <w:pStyle w:val="Footer"/>
      <w:tabs>
        <w:tab w:val="left" w:pos="6270"/>
      </w:tabs>
      <w:ind w:right="66" w:firstLine="360"/>
      <w:jc w:val="right"/>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425147">
      <w:rPr>
        <w:rStyle w:val="PageNumber"/>
        <w:noProof/>
        <w:sz w:val="22"/>
      </w:rPr>
      <w:t>7</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748B" w14:textId="77777777" w:rsidR="004B1AE1" w:rsidRDefault="004B1AE1">
      <w:pPr>
        <w:pStyle w:val="Footer"/>
        <w:tabs>
          <w:tab w:val="clear" w:pos="4320"/>
          <w:tab w:val="clear" w:pos="8640"/>
        </w:tabs>
      </w:pPr>
    </w:p>
  </w:footnote>
  <w:footnote w:type="continuationSeparator" w:id="0">
    <w:p w14:paraId="2363D56B" w14:textId="77777777" w:rsidR="004B1AE1" w:rsidRDefault="004B1AE1">
      <w:r>
        <w:continuationSeparator/>
      </w:r>
    </w:p>
  </w:footnote>
  <w:footnote w:id="1">
    <w:p w14:paraId="35EA66AF" w14:textId="77777777" w:rsidR="002619BF" w:rsidRDefault="002619BF" w:rsidP="00B45F16">
      <w:pPr>
        <w:pStyle w:val="FootnoteText"/>
      </w:pPr>
      <w:r>
        <w:rPr>
          <w:rStyle w:val="FootnoteReference"/>
          <w:sz w:val="20"/>
        </w:rPr>
        <w:t>a</w:t>
      </w:r>
      <w:r>
        <w:t xml:space="preserve"> </w:t>
      </w:r>
      <w:r>
        <w:rPr>
          <w:snapToGrid w:val="0"/>
        </w:rPr>
        <w:t>Footnotes should be typeset in 8 pt Times Roman at the bottom of the page.</w:t>
      </w:r>
    </w:p>
  </w:footnote>
  <w:footnote w:id="2">
    <w:p w14:paraId="7C720E61" w14:textId="77777777" w:rsidR="00C55894" w:rsidRDefault="00C55894">
      <w:pPr>
        <w:pStyle w:val="FootnoteText"/>
      </w:pPr>
    </w:p>
  </w:footnote>
  <w:footnote w:id="3">
    <w:p w14:paraId="3E9E9207" w14:textId="77777777" w:rsidR="00B45F16" w:rsidRDefault="00B45F16" w:rsidP="00B45F16">
      <w:pPr>
        <w:pStyle w:val="FootnoteText"/>
      </w:pPr>
      <w:r>
        <w:rPr>
          <w:rStyle w:val="FootnoteReference"/>
        </w:rPr>
        <w:t>*</w:t>
      </w:r>
      <w:r w:rsidR="00FC7380">
        <w:t>Corresponding author</w:t>
      </w:r>
      <w:r w:rsidR="00C55894">
        <w:tab/>
      </w:r>
      <w:r w:rsidR="00C55894">
        <w:tab/>
      </w:r>
      <w:r w:rsidR="00C55894">
        <w:tab/>
      </w:r>
      <w:r w:rsidR="00C55894">
        <w:tab/>
      </w:r>
      <w:r w:rsidR="00C55894">
        <w:tab/>
      </w:r>
      <w:r w:rsidR="00C55894">
        <w:tab/>
        <w:t xml:space="preserve"> </w:t>
      </w:r>
      <w:r w:rsidR="00FC7380">
        <w:t xml:space="preserve">                               Last updated: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2A55" w14:textId="77777777" w:rsidR="006F3CDD" w:rsidRDefault="006F3CDD">
    <w:pPr>
      <w:pStyle w:val="Header"/>
      <w:tabs>
        <w:tab w:val="clear" w:pos="4320"/>
        <w:tab w:val="clear" w:pos="8640"/>
        <w:tab w:val="center" w:pos="5610"/>
        <w:tab w:val="right" w:pos="8195"/>
      </w:tabs>
      <w:ind w:right="11" w:firstLine="360"/>
      <w:jc w:val="center"/>
      <w:rPr>
        <w:i/>
        <w:iCs/>
        <w:sz w:val="18"/>
        <w:szCs w:val="18"/>
      </w:rPr>
    </w:pPr>
  </w:p>
  <w:p w14:paraId="1395C7CA" w14:textId="77777777" w:rsidR="002619BF" w:rsidRPr="006F3CDD" w:rsidRDefault="00FC7380" w:rsidP="00B45F16">
    <w:pPr>
      <w:pStyle w:val="Header"/>
      <w:tabs>
        <w:tab w:val="clear" w:pos="4320"/>
        <w:tab w:val="clear" w:pos="8640"/>
        <w:tab w:val="center" w:pos="5610"/>
        <w:tab w:val="right" w:pos="8195"/>
      </w:tabs>
      <w:ind w:right="11" w:firstLine="360"/>
      <w:jc w:val="center"/>
      <w:rPr>
        <w:i/>
        <w:iCs/>
        <w:sz w:val="18"/>
        <w:szCs w:val="18"/>
      </w:rPr>
    </w:pPr>
    <w:r>
      <w:rPr>
        <w:i/>
        <w:iCs/>
        <w:sz w:val="18"/>
        <w:szCs w:val="18"/>
      </w:rPr>
      <w:t>Authors’ names in one line only, Times New Roman</w:t>
    </w:r>
    <w:r w:rsidR="00B45F16" w:rsidRPr="00B45F16">
      <w:rPr>
        <w:i/>
        <w:iCs/>
        <w:sz w:val="18"/>
        <w:szCs w:val="18"/>
      </w:rPr>
      <w:t xml:space="preserve"> 9 pt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120D" w14:textId="77777777" w:rsidR="002619BF" w:rsidRDefault="002619BF">
    <w:pPr>
      <w:pStyle w:val="Header"/>
      <w:tabs>
        <w:tab w:val="clear" w:pos="4320"/>
        <w:tab w:val="right" w:pos="8250"/>
      </w:tabs>
      <w:ind w:right="11" w:firstLine="660"/>
      <w:jc w:val="left"/>
      <w:rPr>
        <w:i/>
        <w:sz w:val="18"/>
      </w:rPr>
    </w:pPr>
  </w:p>
  <w:p w14:paraId="1FB36972" w14:textId="77777777" w:rsidR="006F3CDD" w:rsidRDefault="00C52D45" w:rsidP="006F3CDD">
    <w:pPr>
      <w:pStyle w:val="Header"/>
      <w:tabs>
        <w:tab w:val="clear" w:pos="4320"/>
        <w:tab w:val="right" w:pos="8250"/>
      </w:tabs>
      <w:ind w:right="11" w:firstLine="660"/>
      <w:jc w:val="center"/>
      <w:rPr>
        <w:i/>
        <w:sz w:val="18"/>
      </w:rPr>
    </w:pPr>
    <w:r>
      <w:rPr>
        <w:i/>
        <w:sz w:val="18"/>
      </w:rPr>
      <w:t>One line t</w:t>
    </w:r>
    <w:r w:rsidR="006F3CDD">
      <w:rPr>
        <w:i/>
        <w:sz w:val="18"/>
      </w:rPr>
      <w:t xml:space="preserve">itle in </w:t>
    </w:r>
    <w:r w:rsidRPr="00C52D45">
      <w:rPr>
        <w:sz w:val="18"/>
      </w:rPr>
      <w:t>9</w:t>
    </w:r>
    <w:r>
      <w:rPr>
        <w:i/>
        <w:sz w:val="18"/>
      </w:rPr>
      <w:t xml:space="preserve"> pt </w:t>
    </w:r>
    <w:r w:rsidR="006F3CDD">
      <w:rPr>
        <w:i/>
        <w:sz w:val="18"/>
      </w:rPr>
      <w:t>Times New Roman</w:t>
    </w:r>
  </w:p>
  <w:p w14:paraId="40E10365" w14:textId="77777777" w:rsidR="002619BF" w:rsidRDefault="002619BF">
    <w:pPr>
      <w:pStyle w:val="Title"/>
      <w:tabs>
        <w:tab w:val="left" w:pos="2200"/>
        <w:tab w:val="right" w:pos="8250"/>
      </w:tabs>
      <w:spacing w:line="240" w:lineRule="auto"/>
      <w:ind w:right="8"/>
      <w:jc w:val="left"/>
      <w:rPr>
        <w:b w:val="0"/>
        <w:bCs w:val="0"/>
        <w:i/>
        <w:iCs/>
        <w:sz w:val="18"/>
      </w:rPr>
    </w:pPr>
    <w:r>
      <w:rPr>
        <w:b w:val="0"/>
        <w:bCs w:val="0"/>
        <w:i/>
        <w:iCs/>
        <w:sz w:val="18"/>
      </w:rPr>
      <w:tab/>
    </w:r>
  </w:p>
  <w:p w14:paraId="134C1063" w14:textId="77777777" w:rsidR="002619BF" w:rsidRDefault="002619BF">
    <w:pPr>
      <w:tabs>
        <w:tab w:val="right" w:pos="8250"/>
      </w:tabs>
      <w:rPr>
        <w:i/>
        <w:sz w:val="16"/>
      </w:rPr>
    </w:pPr>
    <w:r>
      <w:rPr>
        <w:i/>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EA0A" w14:textId="77777777" w:rsidR="002619BF" w:rsidRDefault="002619BF" w:rsidP="000251F7">
    <w:pPr>
      <w:rPr>
        <w:i/>
        <w:iCs/>
        <w:sz w:val="18"/>
        <w:szCs w:val="20"/>
      </w:rPr>
    </w:pPr>
    <w:r w:rsidRPr="00B45F16">
      <w:rPr>
        <w:i/>
        <w:iCs/>
        <w:sz w:val="18"/>
      </w:rPr>
      <w:t>Journal of Quality Measurement and Analysis</w:t>
    </w:r>
    <w:r w:rsidRPr="00B45F16">
      <w:rPr>
        <w:iCs/>
        <w:sz w:val="18"/>
      </w:rPr>
      <w:t xml:space="preserve">             </w:t>
    </w:r>
    <w:r w:rsidRPr="00B45F16">
      <w:rPr>
        <w:iCs/>
        <w:sz w:val="18"/>
      </w:rPr>
      <w:tab/>
    </w:r>
    <w:r w:rsidR="000251F7">
      <w:rPr>
        <w:iCs/>
        <w:sz w:val="18"/>
      </w:rPr>
      <w:t xml:space="preserve">                                                    </w:t>
    </w:r>
    <w:r w:rsidR="00F0167E">
      <w:rPr>
        <w:iCs/>
        <w:sz w:val="18"/>
      </w:rPr>
      <w:t xml:space="preserve">                 </w:t>
    </w:r>
    <w:r w:rsidRPr="000251F7">
      <w:rPr>
        <w:i/>
        <w:iCs/>
        <w:sz w:val="18"/>
        <w:szCs w:val="20"/>
      </w:rPr>
      <w:t>JQMA</w:t>
    </w:r>
    <w:r w:rsidR="00B45F16">
      <w:rPr>
        <w:i/>
        <w:iCs/>
        <w:sz w:val="18"/>
        <w:szCs w:val="20"/>
      </w:rPr>
      <w:t xml:space="preserve"> </w:t>
    </w:r>
    <w:r w:rsidR="00FC7380">
      <w:rPr>
        <w:iCs/>
        <w:sz w:val="18"/>
        <w:szCs w:val="20"/>
      </w:rPr>
      <w:t>2020</w:t>
    </w:r>
  </w:p>
  <w:p w14:paraId="24A260CB" w14:textId="77777777" w:rsidR="000251F7" w:rsidRPr="000251F7" w:rsidRDefault="000251F7" w:rsidP="000251F7">
    <w:pPr>
      <w:rPr>
        <w:i/>
        <w:iCs/>
        <w:sz w:val="16"/>
        <w:szCs w:val="16"/>
      </w:rPr>
    </w:pPr>
    <w:r w:rsidRPr="000251F7">
      <w:rPr>
        <w:i/>
        <w:iCs/>
        <w:sz w:val="16"/>
        <w:szCs w:val="16"/>
      </w:rPr>
      <w:t xml:space="preserve">e-ISSN: </w:t>
    </w:r>
    <w:r w:rsidRPr="00FC7380">
      <w:rPr>
        <w:iCs/>
        <w:sz w:val="16"/>
        <w:szCs w:val="16"/>
      </w:rPr>
      <w:t>2600-8602</w:t>
    </w:r>
    <w:r w:rsidR="00080E3C" w:rsidRPr="00FC7380">
      <w:rPr>
        <w:iCs/>
        <w:sz w:val="16"/>
        <w:szCs w:val="16"/>
      </w:rPr>
      <w:t xml:space="preserve">                                                                                                                                        </w:t>
    </w:r>
    <w:r w:rsidR="00080E3C">
      <w:rPr>
        <w:i/>
        <w:iCs/>
        <w:sz w:val="16"/>
        <w:szCs w:val="16"/>
      </w:rPr>
      <w:t>http://www.ukm.my/jqma</w:t>
    </w:r>
  </w:p>
  <w:p w14:paraId="04681973" w14:textId="77777777" w:rsidR="002619BF" w:rsidRDefault="002619BF">
    <w:pPr>
      <w:pStyle w:val="Header"/>
      <w:jc w:val="right"/>
      <w:rPr>
        <w:sz w:val="16"/>
      </w:rPr>
    </w:pPr>
    <w:r>
      <w:rPr>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2A10"/>
    <w:multiLevelType w:val="singleLevel"/>
    <w:tmpl w:val="007E248E"/>
    <w:lvl w:ilvl="0">
      <w:start w:val="1"/>
      <w:numFmt w:val="decimal"/>
      <w:pStyle w:val="NList"/>
      <w:lvlText w:val="(%1)"/>
      <w:lvlJc w:val="right"/>
      <w:pPr>
        <w:tabs>
          <w:tab w:val="num" w:pos="360"/>
        </w:tabs>
        <w:ind w:left="360" w:hanging="72"/>
      </w:pPr>
      <w:rPr>
        <w:rFonts w:hint="default"/>
      </w:rPr>
    </w:lvl>
  </w:abstractNum>
  <w:abstractNum w:abstractNumId="1" w15:restartNumberingAfterBreak="0">
    <w:nsid w:val="2B273840"/>
    <w:multiLevelType w:val="multilevel"/>
    <w:tmpl w:val="4D0C466E"/>
    <w:lvl w:ilvl="0">
      <w:start w:val="1"/>
      <w:numFmt w:val="decimal"/>
      <w:lvlText w:val="(%1)"/>
      <w:lvlJc w:val="left"/>
      <w:pPr>
        <w:tabs>
          <w:tab w:val="num" w:pos="432"/>
        </w:tabs>
        <w:ind w:left="432" w:hanging="432"/>
      </w:pPr>
      <w:rPr>
        <w:rFonts w:hint="default"/>
      </w:rPr>
    </w:lvl>
    <w:lvl w:ilvl="1">
      <w:start w:val="1"/>
      <w:numFmt w:val="lowerRoman"/>
      <w:lvlText w:val="(%2)"/>
      <w:lvlJc w:val="right"/>
      <w:pPr>
        <w:tabs>
          <w:tab w:val="num" w:pos="576"/>
        </w:tabs>
        <w:ind w:left="576" w:hanging="288"/>
      </w:pPr>
      <w:rPr>
        <w:rFonts w:hint="default"/>
      </w:rPr>
    </w:lvl>
    <w:lvl w:ilvl="2">
      <w:start w:val="1"/>
      <w:numFmt w:val="lowerLetter"/>
      <w:lvlText w:val="%3."/>
      <w:lvlJc w:val="left"/>
      <w:pPr>
        <w:tabs>
          <w:tab w:val="num" w:pos="936"/>
        </w:tabs>
        <w:ind w:left="576"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CD35C99"/>
    <w:multiLevelType w:val="multilevel"/>
    <w:tmpl w:val="E12280DE"/>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623626B"/>
    <w:multiLevelType w:val="multilevel"/>
    <w:tmpl w:val="ECC27820"/>
    <w:lvl w:ilvl="0">
      <w:start w:val="1"/>
      <w:numFmt w:val="bullet"/>
      <w:lvlText w:val="o"/>
      <w:lvlJc w:val="left"/>
      <w:pPr>
        <w:tabs>
          <w:tab w:val="num" w:pos="1020"/>
        </w:tabs>
        <w:ind w:left="1020" w:hanging="360"/>
      </w:pPr>
      <w:rPr>
        <w:rFonts w:ascii="Courier New" w:hAnsi="Courier New" w:hint="default"/>
      </w:rPr>
    </w:lvl>
    <w:lvl w:ilvl="1">
      <w:start w:val="1"/>
      <w:numFmt w:val="bullet"/>
      <w:lvlText w:val=""/>
      <w:lvlJc w:val="left"/>
      <w:pPr>
        <w:tabs>
          <w:tab w:val="num" w:pos="2100"/>
        </w:tabs>
        <w:ind w:left="2100" w:hanging="360"/>
      </w:pPr>
      <w:rPr>
        <w:rFonts w:ascii="Symbol" w:hAnsi="Symbol" w:hint="default"/>
      </w:rPr>
    </w:lvl>
    <w:lvl w:ilvl="2">
      <w:start w:val="1"/>
      <w:numFmt w:val="bullet"/>
      <w:lvlText w:val="*"/>
      <w:lvlJc w:val="left"/>
      <w:pPr>
        <w:tabs>
          <w:tab w:val="num" w:pos="2820"/>
        </w:tabs>
        <w:ind w:left="2820" w:hanging="360"/>
      </w:pPr>
      <w:rPr>
        <w:rFonts w:ascii="Times New Roman" w:cs="Times New Roman" w:hint="default"/>
      </w:rPr>
    </w:lvl>
    <w:lvl w:ilvl="3">
      <w:start w:val="1"/>
      <w:numFmt w:val="bullet"/>
      <w:lvlText w:val=""/>
      <w:lvlJc w:val="left"/>
      <w:pPr>
        <w:tabs>
          <w:tab w:val="num" w:pos="3540"/>
        </w:tabs>
        <w:ind w:left="3540" w:hanging="360"/>
      </w:pPr>
      <w:rPr>
        <w:rFonts w:ascii="Symbol" w:hAnsi="Symbol" w:hint="default"/>
      </w:rPr>
    </w:lvl>
    <w:lvl w:ilvl="4">
      <w:start w:val="1"/>
      <w:numFmt w:val="bullet"/>
      <w:lvlText w:val="o"/>
      <w:lvlJc w:val="left"/>
      <w:pPr>
        <w:tabs>
          <w:tab w:val="num" w:pos="4260"/>
        </w:tabs>
        <w:ind w:left="4260" w:hanging="360"/>
      </w:pPr>
      <w:rPr>
        <w:rFonts w:ascii="Courier New" w:hAnsi="Courier New" w:hint="default"/>
      </w:rPr>
    </w:lvl>
    <w:lvl w:ilvl="5">
      <w:start w:val="1"/>
      <w:numFmt w:val="bullet"/>
      <w:lvlText w:val=""/>
      <w:lvlJc w:val="left"/>
      <w:pPr>
        <w:tabs>
          <w:tab w:val="num" w:pos="4980"/>
        </w:tabs>
        <w:ind w:left="4980" w:hanging="360"/>
      </w:pPr>
      <w:rPr>
        <w:rFonts w:ascii="Wingdings" w:hAnsi="Wingdings" w:hint="default"/>
      </w:rPr>
    </w:lvl>
    <w:lvl w:ilvl="6">
      <w:start w:val="1"/>
      <w:numFmt w:val="bullet"/>
      <w:lvlText w:val=""/>
      <w:lvlJc w:val="left"/>
      <w:pPr>
        <w:tabs>
          <w:tab w:val="num" w:pos="5700"/>
        </w:tabs>
        <w:ind w:left="5700" w:hanging="360"/>
      </w:pPr>
      <w:rPr>
        <w:rFonts w:ascii="Symbol" w:hAnsi="Symbol" w:hint="default"/>
      </w:rPr>
    </w:lvl>
    <w:lvl w:ilvl="7">
      <w:start w:val="1"/>
      <w:numFmt w:val="bullet"/>
      <w:lvlText w:val="o"/>
      <w:lvlJc w:val="left"/>
      <w:pPr>
        <w:tabs>
          <w:tab w:val="num" w:pos="6420"/>
        </w:tabs>
        <w:ind w:left="6420" w:hanging="360"/>
      </w:pPr>
      <w:rPr>
        <w:rFonts w:ascii="Courier New" w:hAnsi="Courier New" w:hint="default"/>
      </w:rPr>
    </w:lvl>
    <w:lvl w:ilvl="8">
      <w:start w:val="1"/>
      <w:numFmt w:val="bullet"/>
      <w:lvlText w:val=""/>
      <w:lvlJc w:val="left"/>
      <w:pPr>
        <w:tabs>
          <w:tab w:val="num" w:pos="7140"/>
        </w:tabs>
        <w:ind w:left="7140" w:hanging="360"/>
      </w:pPr>
      <w:rPr>
        <w:rFonts w:ascii="Wingdings" w:hAnsi="Wingdings" w:hint="default"/>
      </w:rPr>
    </w:lvl>
  </w:abstractNum>
  <w:abstractNum w:abstractNumId="4" w15:restartNumberingAfterBreak="0">
    <w:nsid w:val="53D26788"/>
    <w:multiLevelType w:val="singleLevel"/>
    <w:tmpl w:val="09EAAAAA"/>
    <w:lvl w:ilvl="0">
      <w:start w:val="1"/>
      <w:numFmt w:val="lowerLetter"/>
      <w:pStyle w:val="AList"/>
      <w:lvlText w:val="(%1)"/>
      <w:lvlJc w:val="left"/>
      <w:pPr>
        <w:tabs>
          <w:tab w:val="num" w:pos="360"/>
        </w:tabs>
        <w:ind w:left="360" w:hanging="360"/>
      </w:pPr>
    </w:lvl>
  </w:abstractNum>
  <w:abstractNum w:abstractNumId="5"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64A37BD3"/>
    <w:multiLevelType w:val="multilevel"/>
    <w:tmpl w:val="ECC27820"/>
    <w:lvl w:ilvl="0">
      <w:start w:val="1"/>
      <w:numFmt w:val="bullet"/>
      <w:pStyle w:val="Lis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D37C93"/>
    <w:multiLevelType w:val="multilevel"/>
    <w:tmpl w:val="5852956C"/>
    <w:lvl w:ilvl="0">
      <w:start w:val="1"/>
      <w:numFmt w:val="decimal"/>
      <w:lvlText w:val="(%1)"/>
      <w:lvlJc w:val="left"/>
      <w:pPr>
        <w:tabs>
          <w:tab w:val="num" w:pos="432"/>
        </w:tabs>
        <w:ind w:left="432" w:hanging="432"/>
      </w:pPr>
      <w:rPr>
        <w:rFonts w:hint="default"/>
      </w:rPr>
    </w:lvl>
    <w:lvl w:ilvl="1">
      <w:start w:val="1"/>
      <w:numFmt w:val="lowerRoman"/>
      <w:lvlText w:val="(%2)"/>
      <w:lvlJc w:val="right"/>
      <w:pPr>
        <w:tabs>
          <w:tab w:val="num" w:pos="576"/>
        </w:tabs>
        <w:ind w:left="576" w:hanging="288"/>
      </w:pPr>
      <w:rPr>
        <w:rFonts w:hint="default"/>
      </w:rPr>
    </w:lvl>
    <w:lvl w:ilvl="2">
      <w:start w:val="1"/>
      <w:numFmt w:val="lowerRoman"/>
      <w:lvlText w:val="%3."/>
      <w:lvlJc w:val="right"/>
      <w:pPr>
        <w:tabs>
          <w:tab w:val="num" w:pos="720"/>
        </w:tabs>
        <w:ind w:left="720" w:hanging="43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9242631">
    <w:abstractNumId w:val="0"/>
  </w:num>
  <w:num w:numId="2" w16cid:durableId="705905771">
    <w:abstractNumId w:val="4"/>
  </w:num>
  <w:num w:numId="3" w16cid:durableId="1947736654">
    <w:abstractNumId w:val="2"/>
  </w:num>
  <w:num w:numId="4" w16cid:durableId="1748112236">
    <w:abstractNumId w:val="2"/>
  </w:num>
  <w:num w:numId="5" w16cid:durableId="937100133">
    <w:abstractNumId w:val="5"/>
  </w:num>
  <w:num w:numId="6" w16cid:durableId="2057924974">
    <w:abstractNumId w:val="6"/>
  </w:num>
  <w:num w:numId="7" w16cid:durableId="1680422235">
    <w:abstractNumId w:val="7"/>
  </w:num>
  <w:num w:numId="8" w16cid:durableId="509485440">
    <w:abstractNumId w:val="1"/>
  </w:num>
  <w:num w:numId="9" w16cid:durableId="173696898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8" w:dllVersion="513" w:checkStyle="1"/>
  <w:activeWritingStyle w:appName="MSWord" w:lang="fr-FR" w:vendorID="9" w:dllVersion="512" w:checkStyle="1"/>
  <w:activeWritingStyle w:appName="MSWord" w:lang="ms-MY" w:vendorID="86" w:dllVersion="513" w:checkStyle="1"/>
  <w:proofState w:spelling="clean" w:grammar="clean"/>
  <w:attachedTemplate r:id="rId1"/>
  <w:doNotTrackMoves/>
  <w:defaultTabStop w:val="720"/>
  <w:evenAndOddHeaders/>
  <w:drawingGridHorizontalSpacing w:val="55"/>
  <w:displayHorizontalDrawingGridEvery w:val="2"/>
  <w:displayVerticalDrawingGridEvery w:val="2"/>
  <w:noPunctuationKerning/>
  <w:characterSpacingControl w:val="doNotCompress"/>
  <w:hdrShapeDefaults>
    <o:shapedefaults v:ext="edit" spidmax="2095"/>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5ED"/>
    <w:rsid w:val="000251F7"/>
    <w:rsid w:val="00080E3C"/>
    <w:rsid w:val="000967E0"/>
    <w:rsid w:val="000C4155"/>
    <w:rsid w:val="001151D8"/>
    <w:rsid w:val="00134C20"/>
    <w:rsid w:val="0015731A"/>
    <w:rsid w:val="001C6429"/>
    <w:rsid w:val="00225FF7"/>
    <w:rsid w:val="00243087"/>
    <w:rsid w:val="002619BF"/>
    <w:rsid w:val="00290E60"/>
    <w:rsid w:val="00316C00"/>
    <w:rsid w:val="00352007"/>
    <w:rsid w:val="003C367E"/>
    <w:rsid w:val="003C5034"/>
    <w:rsid w:val="00423368"/>
    <w:rsid w:val="00425147"/>
    <w:rsid w:val="004769AA"/>
    <w:rsid w:val="004B1AE1"/>
    <w:rsid w:val="004D2107"/>
    <w:rsid w:val="00580F52"/>
    <w:rsid w:val="00596EE9"/>
    <w:rsid w:val="005A2B99"/>
    <w:rsid w:val="005B5AB4"/>
    <w:rsid w:val="00622092"/>
    <w:rsid w:val="00642CD7"/>
    <w:rsid w:val="00660371"/>
    <w:rsid w:val="006A7B03"/>
    <w:rsid w:val="006F3CDD"/>
    <w:rsid w:val="007A219A"/>
    <w:rsid w:val="007A3681"/>
    <w:rsid w:val="007E7E7C"/>
    <w:rsid w:val="0081410C"/>
    <w:rsid w:val="00824B5A"/>
    <w:rsid w:val="00994C0D"/>
    <w:rsid w:val="009F35E6"/>
    <w:rsid w:val="00A03079"/>
    <w:rsid w:val="00A407BF"/>
    <w:rsid w:val="00B45F16"/>
    <w:rsid w:val="00B54278"/>
    <w:rsid w:val="00C52D45"/>
    <w:rsid w:val="00C55894"/>
    <w:rsid w:val="00C745ED"/>
    <w:rsid w:val="00C82D16"/>
    <w:rsid w:val="00D41060"/>
    <w:rsid w:val="00D63F72"/>
    <w:rsid w:val="00D77DBA"/>
    <w:rsid w:val="00DC2CCB"/>
    <w:rsid w:val="00DC5DA5"/>
    <w:rsid w:val="00E65934"/>
    <w:rsid w:val="00E90DA9"/>
    <w:rsid w:val="00EB046C"/>
    <w:rsid w:val="00F0167E"/>
    <w:rsid w:val="00FC7380"/>
    <w:rsid w:val="00FE3E7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2"/>
      <o:rules v:ext="edit">
        <o:r id="V:Rule1" type="connector" idref="#_x0000_s2094"/>
      </o:rules>
    </o:shapelayout>
  </w:shapeDefaults>
  <w:decimalSymbol w:val="."/>
  <w:listSeparator w:val=","/>
  <w14:docId w14:val="639D8C83"/>
  <w15:chartTrackingRefBased/>
  <w15:docId w15:val="{10505169-0CCA-4962-BA61-367B4B75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aliases w:val="Section"/>
    <w:basedOn w:val="Normal"/>
    <w:next w:val="Normal"/>
    <w:qFormat/>
    <w:pPr>
      <w:keepNext/>
      <w:keepLines/>
      <w:numPr>
        <w:numId w:val="3"/>
      </w:numPr>
      <w:tabs>
        <w:tab w:val="clear" w:pos="360"/>
        <w:tab w:val="left" w:pos="288"/>
      </w:tabs>
      <w:suppressAutoHyphens/>
      <w:spacing w:before="240" w:after="120"/>
      <w:ind w:left="288" w:right="288" w:hanging="288"/>
      <w:outlineLvl w:val="0"/>
    </w:pPr>
    <w:rPr>
      <w:b/>
      <w:kern w:val="28"/>
      <w:sz w:val="20"/>
    </w:rPr>
  </w:style>
  <w:style w:type="paragraph" w:styleId="Heading2">
    <w:name w:val="heading 2"/>
    <w:aliases w:val="Subsection"/>
    <w:basedOn w:val="Normal"/>
    <w:next w:val="Normal"/>
    <w:qFormat/>
    <w:pPr>
      <w:keepNext/>
      <w:numPr>
        <w:ilvl w:val="1"/>
        <w:numId w:val="4"/>
      </w:numPr>
      <w:tabs>
        <w:tab w:val="left" w:pos="432"/>
      </w:tabs>
      <w:spacing w:before="240" w:after="120"/>
      <w:ind w:right="360"/>
      <w:outlineLvl w:val="1"/>
    </w:pPr>
    <w:rPr>
      <w:b/>
      <w:i/>
      <w:sz w:val="20"/>
    </w:rPr>
  </w:style>
  <w:style w:type="paragraph" w:styleId="Heading3">
    <w:name w:val="heading 3"/>
    <w:aliases w:val="Subsubsection"/>
    <w:basedOn w:val="Normal"/>
    <w:next w:val="Normal"/>
    <w:autoRedefine/>
    <w:qFormat/>
    <w:pPr>
      <w:keepNext/>
      <w:keepLines/>
      <w:suppressAutoHyphens/>
      <w:spacing w:before="240" w:after="120"/>
      <w:ind w:right="360"/>
      <w:outlineLvl w:val="2"/>
    </w:pPr>
    <w:rPr>
      <w:i/>
      <w:sz w:val="20"/>
    </w:rPr>
  </w:style>
  <w:style w:type="paragraph" w:styleId="Heading4">
    <w:name w:val="heading 4"/>
    <w:aliases w:val="Paragraph"/>
    <w:basedOn w:val="Normal"/>
    <w:next w:val="Normal"/>
    <w:autoRedefine/>
    <w:qFormat/>
    <w:pPr>
      <w:keepNext/>
      <w:spacing w:before="240" w:after="60"/>
      <w:outlineLvl w:val="3"/>
    </w:pPr>
    <w:rPr>
      <w:sz w:val="20"/>
    </w:rPr>
  </w:style>
  <w:style w:type="paragraph" w:styleId="Heading5">
    <w:name w:val="heading 5"/>
    <w:aliases w:val="Subparagraph"/>
    <w:basedOn w:val="Normal"/>
    <w:next w:val="Normal"/>
    <w:qFormat/>
    <w:pPr>
      <w:keepNext/>
      <w:widowControl w:val="0"/>
      <w:spacing w:before="240" w:after="160"/>
      <w:outlineLvl w:val="4"/>
    </w:pPr>
    <w:rPr>
      <w:b/>
      <w:snapToGrid w:val="0"/>
      <w:lang w:val="x-none"/>
    </w:rPr>
  </w:style>
  <w:style w:type="paragraph" w:styleId="Heading6">
    <w:name w:val="heading 6"/>
    <w:basedOn w:val="Normal"/>
    <w:next w:val="Normal"/>
    <w:qFormat/>
    <w:pPr>
      <w:keepNext/>
      <w:outlineLvl w:val="5"/>
    </w:pPr>
    <w:rPr>
      <w:i/>
      <w:iCs/>
      <w:snapToGrid w:val="0"/>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tabs>
        <w:tab w:val="left" w:pos="360"/>
      </w:tabs>
      <w:spacing w:line="260" w:lineRule="atLeast"/>
      <w:jc w:val="both"/>
    </w:pPr>
    <w:rPr>
      <w:rFonts w:ascii="Courier New" w:hAnsi="Courier New"/>
      <w:sz w:val="20"/>
      <w:szCs w:val="20"/>
    </w:rPr>
  </w:style>
  <w:style w:type="paragraph" w:customStyle="1" w:styleId="JournalTitle">
    <w:name w:val="Journal Title"/>
    <w:basedOn w:val="Normal"/>
    <w:autoRedefine/>
    <w:pPr>
      <w:spacing w:after="400" w:line="240" w:lineRule="exact"/>
      <w:jc w:val="center"/>
    </w:pPr>
    <w:rPr>
      <w:b/>
      <w:caps/>
      <w:sz w:val="20"/>
    </w:rPr>
  </w:style>
  <w:style w:type="paragraph" w:customStyle="1" w:styleId="Text">
    <w:name w:val="Text"/>
    <w:basedOn w:val="Normal"/>
    <w:pPr>
      <w:tabs>
        <w:tab w:val="right" w:pos="7200"/>
      </w:tabs>
      <w:spacing w:line="260" w:lineRule="exact"/>
      <w:jc w:val="both"/>
    </w:pPr>
    <w:rPr>
      <w:sz w:val="20"/>
    </w:rPr>
  </w:style>
  <w:style w:type="paragraph" w:customStyle="1" w:styleId="BodyText0">
    <w:name w:val="Body Text 0"/>
    <w:basedOn w:val="BodyText"/>
    <w:next w:val="BodyText"/>
    <w:pPr>
      <w:ind w:firstLine="0"/>
    </w:pPr>
  </w:style>
  <w:style w:type="paragraph" w:styleId="BodyText">
    <w:name w:val="Body Text"/>
    <w:basedOn w:val="Normal"/>
    <w:semiHidden/>
    <w:pPr>
      <w:autoSpaceDE w:val="0"/>
      <w:autoSpaceDN w:val="0"/>
      <w:ind w:firstLine="300"/>
      <w:jc w:val="both"/>
    </w:pPr>
    <w:rPr>
      <w:sz w:val="20"/>
    </w:rPr>
  </w:style>
  <w:style w:type="paragraph" w:styleId="Header">
    <w:name w:val="header"/>
    <w:basedOn w:val="Normal"/>
    <w:semiHidden/>
    <w:pPr>
      <w:tabs>
        <w:tab w:val="center" w:pos="4320"/>
        <w:tab w:val="right" w:pos="8640"/>
      </w:tabs>
      <w:jc w:val="both"/>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autoRedefine/>
    <w:semiHidden/>
    <w:rsid w:val="00B45F16"/>
    <w:pPr>
      <w:tabs>
        <w:tab w:val="left" w:pos="360"/>
      </w:tabs>
    </w:pPr>
    <w:rPr>
      <w:sz w:val="16"/>
    </w:rPr>
  </w:style>
  <w:style w:type="character" w:styleId="FootnoteReference">
    <w:name w:val="footnote reference"/>
    <w:semiHidden/>
    <w:rPr>
      <w:vertAlign w:val="superscript"/>
    </w:rPr>
  </w:style>
  <w:style w:type="character" w:customStyle="1" w:styleId="MTEquationSection">
    <w:name w:val="MTEquationSection"/>
    <w:rPr>
      <w:vanish/>
      <w:color w:val="FF0000"/>
    </w:rPr>
  </w:style>
  <w:style w:type="paragraph" w:customStyle="1" w:styleId="Reference">
    <w:name w:val="Reference"/>
    <w:basedOn w:val="Normal"/>
    <w:autoRedefine/>
    <w:pPr>
      <w:spacing w:line="220" w:lineRule="exact"/>
      <w:ind w:left="340" w:hanging="340"/>
      <w:jc w:val="both"/>
    </w:pPr>
    <w:rPr>
      <w:sz w:val="18"/>
    </w:rPr>
  </w:style>
  <w:style w:type="paragraph" w:customStyle="1" w:styleId="TextIndent">
    <w:name w:val="Text Indent"/>
    <w:autoRedefine/>
    <w:pPr>
      <w:spacing w:line="260" w:lineRule="exact"/>
      <w:ind w:firstLine="284"/>
      <w:jc w:val="both"/>
    </w:pPr>
    <w:rPr>
      <w:sz w:val="22"/>
      <w:lang w:val="en-US" w:eastAsia="en-US"/>
    </w:rPr>
  </w:style>
  <w:style w:type="paragraph" w:customStyle="1" w:styleId="Equation">
    <w:name w:val="Equation"/>
    <w:basedOn w:val="Normal"/>
    <w:next w:val="Normal"/>
    <w:autoRedefine/>
    <w:pPr>
      <w:tabs>
        <w:tab w:val="left" w:pos="715"/>
        <w:tab w:val="center" w:pos="2200"/>
        <w:tab w:val="left" w:pos="5940"/>
        <w:tab w:val="right" w:pos="8305"/>
      </w:tabs>
      <w:autoSpaceDE w:val="0"/>
      <w:autoSpaceDN w:val="0"/>
      <w:spacing w:before="60" w:after="60"/>
    </w:pPr>
    <w:rPr>
      <w:position w:val="-56"/>
      <w:sz w:val="20"/>
    </w:rPr>
  </w:style>
  <w:style w:type="paragraph" w:styleId="List">
    <w:name w:val="List"/>
    <w:aliases w:val="BList"/>
    <w:basedOn w:val="Normal"/>
    <w:semiHidden/>
    <w:pPr>
      <w:numPr>
        <w:numId w:val="6"/>
      </w:numPr>
      <w:spacing w:line="240" w:lineRule="exact"/>
      <w:jc w:val="both"/>
    </w:pPr>
    <w:rPr>
      <w:sz w:val="20"/>
    </w:rPr>
  </w:style>
  <w:style w:type="paragraph" w:customStyle="1" w:styleId="Appendix1">
    <w:name w:val="Appendix 1"/>
    <w:basedOn w:val="Normal"/>
    <w:next w:val="BodyText0"/>
    <w:pPr>
      <w:keepNext/>
      <w:keepLines/>
      <w:numPr>
        <w:numId w:val="5"/>
      </w:numPr>
      <w:suppressAutoHyphens/>
      <w:autoSpaceDE w:val="0"/>
      <w:autoSpaceDN w:val="0"/>
      <w:spacing w:before="200" w:after="80"/>
      <w:outlineLvl w:val="0"/>
    </w:pPr>
    <w:rPr>
      <w:b/>
      <w:sz w:val="20"/>
    </w:rPr>
  </w:style>
  <w:style w:type="paragraph" w:customStyle="1" w:styleId="Table">
    <w:name w:val="Table"/>
    <w:basedOn w:val="Text"/>
    <w:autoRedefine/>
    <w:pPr>
      <w:spacing w:line="220" w:lineRule="exact"/>
      <w:ind w:left="-86" w:right="-155"/>
      <w:jc w:val="left"/>
    </w:pPr>
    <w:rPr>
      <w:sz w:val="16"/>
    </w:rPr>
  </w:style>
  <w:style w:type="paragraph" w:styleId="DocumentMap">
    <w:name w:val="Document Map"/>
    <w:basedOn w:val="Normal"/>
    <w:semiHidden/>
    <w:pPr>
      <w:shd w:val="clear" w:color="auto" w:fill="000080"/>
    </w:pPr>
    <w:rPr>
      <w:rFonts w:ascii="Tahoma" w:hAnsi="Tahoma"/>
    </w:rPr>
  </w:style>
  <w:style w:type="paragraph" w:customStyle="1" w:styleId="Author">
    <w:name w:val="Author"/>
    <w:basedOn w:val="Normal"/>
    <w:autoRedefine/>
    <w:pPr>
      <w:spacing w:before="40" w:after="120"/>
      <w:jc w:val="center"/>
    </w:pPr>
    <w:rPr>
      <w:i/>
      <w:iCs/>
      <w:snapToGrid w:val="0"/>
      <w:sz w:val="20"/>
    </w:rPr>
  </w:style>
  <w:style w:type="paragraph" w:customStyle="1" w:styleId="Affiliation">
    <w:name w:val="Affiliation"/>
    <w:basedOn w:val="Normal"/>
    <w:autoRedefine/>
    <w:pPr>
      <w:tabs>
        <w:tab w:val="left" w:pos="2255"/>
      </w:tabs>
      <w:spacing w:after="120"/>
      <w:jc w:val="center"/>
    </w:pPr>
    <w:rPr>
      <w:i/>
      <w:snapToGrid w:val="0"/>
      <w:sz w:val="16"/>
    </w:rPr>
  </w:style>
  <w:style w:type="paragraph" w:customStyle="1" w:styleId="Abstract">
    <w:name w:val="Abstract"/>
    <w:basedOn w:val="Text"/>
    <w:autoRedefine/>
    <w:pPr>
      <w:spacing w:before="40" w:line="240" w:lineRule="exact"/>
      <w:ind w:left="357" w:right="357"/>
    </w:pPr>
    <w:rPr>
      <w:snapToGrid w:val="0"/>
    </w:rPr>
  </w:style>
  <w:style w:type="paragraph" w:customStyle="1" w:styleId="MTDisplayEquation">
    <w:name w:val="MTDisplayEquation"/>
    <w:basedOn w:val="Normal"/>
    <w:next w:val="Normal"/>
    <w:pPr>
      <w:widowControl w:val="0"/>
    </w:pPr>
    <w:rPr>
      <w:snapToGrid w:val="0"/>
      <w:sz w:val="20"/>
      <w:lang w:val="x-none"/>
    </w:rPr>
  </w:style>
  <w:style w:type="paragraph" w:customStyle="1" w:styleId="Theorem">
    <w:name w:val="Theorem"/>
    <w:basedOn w:val="Text"/>
    <w:autoRedefine/>
    <w:pPr>
      <w:spacing w:before="200" w:after="200"/>
    </w:pPr>
  </w:style>
  <w:style w:type="paragraph" w:customStyle="1" w:styleId="FigureCaption">
    <w:name w:val="Figure Caption"/>
    <w:basedOn w:val="Normal"/>
    <w:autoRedefine/>
    <w:pPr>
      <w:framePr w:w="7200" w:h="3960" w:hSpace="187" w:wrap="notBeside" w:vAnchor="text" w:hAnchor="page" w:x="2521" w:y="1148"/>
      <w:spacing w:before="120" w:after="200" w:line="200" w:lineRule="exact"/>
      <w:jc w:val="both"/>
    </w:pPr>
    <w:rPr>
      <w:sz w:val="16"/>
    </w:rPr>
  </w:style>
  <w:style w:type="paragraph" w:customStyle="1" w:styleId="NList">
    <w:name w:val="NList"/>
    <w:basedOn w:val="List"/>
    <w:autoRedefine/>
    <w:pPr>
      <w:numPr>
        <w:numId w:val="1"/>
      </w:numPr>
      <w:spacing w:line="260" w:lineRule="exact"/>
    </w:pPr>
  </w:style>
  <w:style w:type="paragraph" w:customStyle="1" w:styleId="AList">
    <w:name w:val="AList"/>
    <w:basedOn w:val="Normal"/>
    <w:autoRedefine/>
    <w:pPr>
      <w:numPr>
        <w:numId w:val="2"/>
      </w:numPr>
      <w:spacing w:line="240" w:lineRule="exact"/>
      <w:ind w:left="720"/>
    </w:pPr>
    <w:rPr>
      <w:sz w:val="20"/>
    </w:rPr>
  </w:style>
  <w:style w:type="paragraph" w:styleId="Caption">
    <w:name w:val="caption"/>
    <w:basedOn w:val="Normal"/>
    <w:next w:val="Normal"/>
    <w:qFormat/>
    <w:pPr>
      <w:widowControl w:val="0"/>
      <w:spacing w:before="120" w:after="120"/>
      <w:jc w:val="center"/>
    </w:pPr>
    <w:rPr>
      <w:b/>
      <w:snapToGrid w:val="0"/>
      <w:sz w:val="20"/>
      <w:lang w:val="x-none"/>
    </w:rPr>
  </w:style>
  <w:style w:type="paragraph" w:customStyle="1" w:styleId="TableCaption">
    <w:name w:val="Table Caption"/>
    <w:basedOn w:val="Normal"/>
    <w:autoRedefine/>
    <w:pPr>
      <w:spacing w:before="120" w:after="120" w:line="220" w:lineRule="exact"/>
      <w:jc w:val="center"/>
    </w:pPr>
    <w:rPr>
      <w:sz w:val="18"/>
    </w:rPr>
  </w:style>
  <w:style w:type="paragraph" w:customStyle="1" w:styleId="History">
    <w:name w:val="History"/>
    <w:basedOn w:val="Text"/>
    <w:autoRedefine/>
    <w:pPr>
      <w:spacing w:before="200" w:after="200" w:line="200" w:lineRule="exact"/>
      <w:jc w:val="center"/>
    </w:pPr>
    <w:rPr>
      <w:sz w:val="16"/>
    </w:rPr>
  </w:style>
  <w:style w:type="paragraph" w:customStyle="1" w:styleId="Appendix2">
    <w:name w:val="Appendix 2"/>
    <w:basedOn w:val="Appendix1"/>
    <w:next w:val="BodyText0"/>
    <w:pPr>
      <w:numPr>
        <w:ilvl w:val="1"/>
      </w:numPr>
      <w:tabs>
        <w:tab w:val="left" w:pos="432"/>
      </w:tabs>
      <w:outlineLvl w:val="1"/>
    </w:pPr>
    <w:rPr>
      <w:i/>
    </w:rPr>
  </w:style>
  <w:style w:type="paragraph" w:customStyle="1" w:styleId="Appendix3">
    <w:name w:val="Appendix 3"/>
    <w:basedOn w:val="Appendix2"/>
    <w:next w:val="BodyText0"/>
    <w:pPr>
      <w:numPr>
        <w:ilvl w:val="2"/>
      </w:numPr>
      <w:tabs>
        <w:tab w:val="left" w:pos="288"/>
      </w:tabs>
      <w:outlineLvl w:val="2"/>
    </w:pPr>
    <w:rPr>
      <w:b w:val="0"/>
    </w:rPr>
  </w:style>
  <w:style w:type="paragraph" w:customStyle="1" w:styleId="keywords">
    <w:name w:val="keywords"/>
    <w:basedOn w:val="Abstract"/>
    <w:autoRedefine/>
    <w:pPr>
      <w:spacing w:before="120"/>
    </w:pPr>
    <w:rPr>
      <w:szCs w:val="20"/>
    </w:rPr>
  </w:style>
  <w:style w:type="paragraph" w:customStyle="1" w:styleId="ReferenceHead">
    <w:name w:val="Reference Head"/>
    <w:basedOn w:val="JournalTitle"/>
    <w:autoRedefine/>
    <w:pPr>
      <w:spacing w:before="1360" w:after="1360" w:line="240" w:lineRule="auto"/>
    </w:pPr>
    <w:rPr>
      <w:sz w:val="30"/>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line="255" w:lineRule="atLeast"/>
    </w:pPr>
    <w:rPr>
      <w:rFonts w:ascii="Verdana" w:eastAsia="Arial Unicode MS" w:hAnsi="Verdana" w:cs="Arial Unicode MS"/>
      <w:sz w:val="20"/>
      <w:szCs w:val="20"/>
    </w:rPr>
  </w:style>
  <w:style w:type="character" w:styleId="FollowedHyperlink">
    <w:name w:val="FollowedHyperlink"/>
    <w:semiHidden/>
    <w:rPr>
      <w:color w:val="800080"/>
      <w:u w:val="single"/>
    </w:rPr>
  </w:style>
  <w:style w:type="paragraph" w:styleId="Title">
    <w:name w:val="Title"/>
    <w:basedOn w:val="Normal"/>
    <w:qFormat/>
    <w:pPr>
      <w:widowControl w:val="0"/>
      <w:autoSpaceDE w:val="0"/>
      <w:autoSpaceDN w:val="0"/>
      <w:adjustRightInd w:val="0"/>
      <w:spacing w:line="408" w:lineRule="atLeast"/>
      <w:jc w:val="center"/>
    </w:pPr>
    <w:rPr>
      <w:b/>
      <w:bCs/>
      <w:szCs w:val="20"/>
    </w:rPr>
  </w:style>
  <w:style w:type="paragraph" w:styleId="BodyText2">
    <w:name w:val="Body Text 2"/>
    <w:basedOn w:val="Normal"/>
    <w:semiHidden/>
    <w:pPr>
      <w:jc w:val="both"/>
    </w:pPr>
    <w:rPr>
      <w:snapToGrid w:val="0"/>
      <w:color w:val="000080"/>
      <w:sz w:val="16"/>
    </w:rPr>
  </w:style>
  <w:style w:type="character" w:customStyle="1" w:styleId="FooterChar">
    <w:name w:val="Footer Char"/>
    <w:link w:val="Footer"/>
    <w:uiPriority w:val="99"/>
    <w:rsid w:val="001C642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utexas.edu/its/rc/tutorials/stat/am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secondauthor_id@domain_name"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firstauthor_id@domain_nam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udora\Attach\TYPESETTING%20MANUSCRIP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02A6-00B3-49C5-84D8-C4E968DE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TYPESETTING MANUSCRIPTS.dot</Template>
  <TotalTime>0</TotalTime>
  <Pages>7</Pages>
  <Words>2345</Words>
  <Characters>12386</Characters>
  <Application>Microsoft Office Word</Application>
  <DocSecurity>0</DocSecurity>
  <Lines>344</Lines>
  <Paragraphs>213</Paragraphs>
  <ScaleCrop>false</ScaleCrop>
  <HeadingPairs>
    <vt:vector size="2" baseType="variant">
      <vt:variant>
        <vt:lpstr>Title</vt:lpstr>
      </vt:variant>
      <vt:variant>
        <vt:i4>1</vt:i4>
      </vt:variant>
    </vt:vector>
  </HeadingPairs>
  <TitlesOfParts>
    <vt:vector size="1" baseType="lpstr">
      <vt:lpstr>jqma</vt:lpstr>
    </vt:vector>
  </TitlesOfParts>
  <Company>HP Inc.</Company>
  <LinksUpToDate>false</LinksUpToDate>
  <CharactersWithSpaces>14518</CharactersWithSpaces>
  <SharedDoc>false</SharedDoc>
  <HLinks>
    <vt:vector size="18" baseType="variant">
      <vt:variant>
        <vt:i4>6684673</vt:i4>
      </vt:variant>
      <vt:variant>
        <vt:i4>12</vt:i4>
      </vt:variant>
      <vt:variant>
        <vt:i4>0</vt:i4>
      </vt:variant>
      <vt:variant>
        <vt:i4>5</vt:i4>
      </vt:variant>
      <vt:variant>
        <vt:lpwstr>mailto:secondauthor_id@domain_name</vt:lpwstr>
      </vt:variant>
      <vt:variant>
        <vt:lpwstr/>
      </vt:variant>
      <vt:variant>
        <vt:i4>2555983</vt:i4>
      </vt:variant>
      <vt:variant>
        <vt:i4>9</vt:i4>
      </vt:variant>
      <vt:variant>
        <vt:i4>0</vt:i4>
      </vt:variant>
      <vt:variant>
        <vt:i4>5</vt:i4>
      </vt:variant>
      <vt:variant>
        <vt:lpwstr>mailto:firstauthor_id@domain_name</vt:lpwstr>
      </vt:variant>
      <vt:variant>
        <vt:lpwstr/>
      </vt:variant>
      <vt:variant>
        <vt:i4>4456518</vt:i4>
      </vt:variant>
      <vt:variant>
        <vt:i4>6</vt:i4>
      </vt:variant>
      <vt:variant>
        <vt:i4>0</vt:i4>
      </vt:variant>
      <vt:variant>
        <vt:i4>5</vt:i4>
      </vt:variant>
      <vt:variant>
        <vt:lpwstr>http://www.utexas.edu/its/rc/tutorials/stat/amos/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jqma</dc:title>
  <dc:subject/>
  <dc:creator>pusat komputer</dc:creator>
  <cp:keywords/>
  <dc:description>lg</dc:description>
  <cp:lastModifiedBy>Mohd Aftar Abu Bakar</cp:lastModifiedBy>
  <cp:revision>2</cp:revision>
  <cp:lastPrinted>2020-12-02T03:44:00Z</cp:lastPrinted>
  <dcterms:created xsi:type="dcterms:W3CDTF">2025-02-12T02:32:00Z</dcterms:created>
  <dcterms:modified xsi:type="dcterms:W3CDTF">2025-02-12T02:32:00Z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52d8f589983d6b4828ee7ba613fdbd4118fc3b19a1c1de27ccf2ebf4c315f1ab</vt:lpwstr>
  </property>
</Properties>
</file>