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36E45" w14:textId="669B616C" w:rsidR="006E73A2" w:rsidRPr="00F0487C" w:rsidRDefault="00000000" w:rsidP="00F066AD">
      <w:pPr>
        <w:spacing w:before="84"/>
        <w:ind w:left="336" w:right="740"/>
        <w:jc w:val="both"/>
        <w:rPr>
          <w:b/>
          <w:sz w:val="24"/>
          <w:szCs w:val="24"/>
        </w:rPr>
      </w:pPr>
      <w:r w:rsidRPr="00F0487C">
        <w:rPr>
          <w:b/>
          <w:sz w:val="24"/>
          <w:szCs w:val="24"/>
        </w:rPr>
        <w:t>Undergraduate Research Journal for</w:t>
      </w:r>
      <w:r w:rsidR="007A6E9E" w:rsidRPr="00F0487C">
        <w:rPr>
          <w:b/>
          <w:sz w:val="24"/>
          <w:szCs w:val="24"/>
        </w:rPr>
        <w:t xml:space="preserve"> </w:t>
      </w:r>
      <w:r w:rsidR="00914BE0" w:rsidRPr="00F0487C">
        <w:rPr>
          <w:b/>
          <w:sz w:val="24"/>
          <w:szCs w:val="24"/>
        </w:rPr>
        <w:t>Biological Sciences and Biotechnology</w:t>
      </w:r>
    </w:p>
    <w:p w14:paraId="6C4A2BD9" w14:textId="3E2E9A26" w:rsidR="006E73A2" w:rsidRPr="00F0487C" w:rsidRDefault="00000000" w:rsidP="00F066AD">
      <w:pPr>
        <w:pStyle w:val="Heading1"/>
        <w:spacing w:line="275" w:lineRule="exact"/>
        <w:ind w:left="336"/>
        <w:jc w:val="both"/>
      </w:pPr>
      <w:r w:rsidRPr="00F0487C">
        <w:t xml:space="preserve">ISSN </w:t>
      </w:r>
      <w:r w:rsidR="007A6E9E" w:rsidRPr="00F0487C">
        <w:t>XXXX</w:t>
      </w:r>
      <w:r w:rsidRPr="00F0487C">
        <w:t>-</w:t>
      </w:r>
      <w:r w:rsidR="007A6E9E" w:rsidRPr="00F0487C">
        <w:t>XXXX</w:t>
      </w:r>
    </w:p>
    <w:p w14:paraId="74811B6A" w14:textId="77777777" w:rsidR="006E73A2" w:rsidRPr="00F0487C" w:rsidRDefault="006E73A2" w:rsidP="00F066AD">
      <w:pPr>
        <w:pStyle w:val="BodyText"/>
        <w:spacing w:before="1"/>
        <w:jc w:val="both"/>
        <w:rPr>
          <w:b/>
          <w:sz w:val="24"/>
        </w:rPr>
      </w:pPr>
    </w:p>
    <w:p w14:paraId="2CE9EB97" w14:textId="51DD940A" w:rsidR="006E73A2" w:rsidRPr="00F0487C" w:rsidRDefault="00D22F1A" w:rsidP="00F066AD">
      <w:pPr>
        <w:ind w:left="317" w:right="191"/>
        <w:jc w:val="center"/>
        <w:rPr>
          <w:b/>
          <w:i/>
          <w:sz w:val="28"/>
        </w:rPr>
      </w:pPr>
      <w:r w:rsidRPr="00F0487C">
        <w:rPr>
          <w:b/>
          <w:sz w:val="28"/>
        </w:rPr>
        <w:t xml:space="preserve">The Title of </w:t>
      </w:r>
      <w:r w:rsidR="00B6492A">
        <w:rPr>
          <w:b/>
          <w:sz w:val="28"/>
        </w:rPr>
        <w:t>the</w:t>
      </w:r>
      <w:r w:rsidRPr="00F0487C">
        <w:rPr>
          <w:b/>
          <w:sz w:val="28"/>
        </w:rPr>
        <w:t xml:space="preserve"> manuscript should be concise, descriptive and preferably not exceeding 20 words</w:t>
      </w:r>
      <w:r w:rsidR="00F066AD">
        <w:rPr>
          <w:b/>
          <w:sz w:val="28"/>
        </w:rPr>
        <w:t xml:space="preserve"> </w:t>
      </w:r>
      <w:r w:rsidR="00F066AD" w:rsidRPr="00F066AD">
        <w:rPr>
          <w:b/>
          <w:color w:val="FF0000"/>
          <w:sz w:val="28"/>
        </w:rPr>
        <w:t>(14pt)</w:t>
      </w:r>
    </w:p>
    <w:p w14:paraId="24FFD055" w14:textId="77777777" w:rsidR="006E73A2" w:rsidRPr="00F0487C" w:rsidRDefault="006E73A2" w:rsidP="00F066AD">
      <w:pPr>
        <w:pStyle w:val="BodyText"/>
        <w:ind w:left="317"/>
        <w:jc w:val="center"/>
        <w:rPr>
          <w:b/>
          <w:i/>
          <w:sz w:val="28"/>
        </w:rPr>
      </w:pPr>
    </w:p>
    <w:p w14:paraId="04E80381" w14:textId="1231EECC" w:rsidR="006E73A2" w:rsidRPr="00F0487C" w:rsidRDefault="00284748" w:rsidP="00F066AD">
      <w:pPr>
        <w:pStyle w:val="Heading1"/>
        <w:spacing w:before="1"/>
        <w:ind w:left="317" w:right="191"/>
        <w:jc w:val="center"/>
      </w:pPr>
      <w:r w:rsidRPr="00F0487C">
        <w:t>AuthorA</w:t>
      </w:r>
      <w:r w:rsidRPr="00F0487C">
        <w:rPr>
          <w:vertAlign w:val="superscript"/>
        </w:rPr>
        <w:t>1</w:t>
      </w:r>
      <w:r w:rsidRPr="00F0487C">
        <w:t>, AuthorB</w:t>
      </w:r>
      <w:r w:rsidRPr="00F0487C">
        <w:rPr>
          <w:vertAlign w:val="superscript"/>
        </w:rPr>
        <w:t>1</w:t>
      </w:r>
      <w:r w:rsidRPr="00F0487C">
        <w:t>, AuthorC</w:t>
      </w:r>
      <w:r w:rsidRPr="00F0487C">
        <w:rPr>
          <w:vertAlign w:val="superscript"/>
        </w:rPr>
        <w:t>2</w:t>
      </w:r>
      <w:r w:rsidRPr="00F0487C">
        <w:t xml:space="preserve"> &amp; AuthorD</w:t>
      </w:r>
      <w:r w:rsidRPr="00F0487C">
        <w:rPr>
          <w:vertAlign w:val="superscript"/>
        </w:rPr>
        <w:t>1</w:t>
      </w:r>
      <w:r w:rsidRPr="00F0487C">
        <w:t>*</w:t>
      </w:r>
      <w:r w:rsidR="00F066AD">
        <w:t xml:space="preserve"> </w:t>
      </w:r>
      <w:r w:rsidR="00F066AD" w:rsidRPr="00F066AD">
        <w:rPr>
          <w:color w:val="FF0000"/>
        </w:rPr>
        <w:t>(12pt)</w:t>
      </w:r>
    </w:p>
    <w:p w14:paraId="1AB262BC" w14:textId="3DDE0C95" w:rsidR="006E73A2" w:rsidRPr="00F066AD" w:rsidRDefault="00000000" w:rsidP="00F066AD">
      <w:pPr>
        <w:spacing w:before="248"/>
        <w:ind w:left="317"/>
        <w:jc w:val="center"/>
        <w:rPr>
          <w:iCs/>
          <w:sz w:val="20"/>
        </w:rPr>
      </w:pPr>
      <w:r w:rsidRPr="00F0487C">
        <w:rPr>
          <w:i/>
          <w:position w:val="9"/>
          <w:sz w:val="13"/>
        </w:rPr>
        <w:t>1</w:t>
      </w:r>
      <w:r w:rsidR="00284748" w:rsidRPr="00F0487C">
        <w:rPr>
          <w:i/>
          <w:sz w:val="20"/>
        </w:rPr>
        <w:t>Department of Biological Sciences</w:t>
      </w:r>
      <w:r w:rsidR="004C3D8A" w:rsidRPr="00F0487C">
        <w:rPr>
          <w:i/>
          <w:sz w:val="20"/>
        </w:rPr>
        <w:t xml:space="preserve"> and Biotechnology</w:t>
      </w:r>
      <w:r w:rsidRPr="00F0487C">
        <w:rPr>
          <w:i/>
          <w:sz w:val="20"/>
        </w:rPr>
        <w:t>, Faculty of Science and Technology, Universiti Kebangsaan Malaysia, 43600 Bangi,</w:t>
      </w:r>
      <w:r w:rsidR="00284748" w:rsidRPr="00F0487C">
        <w:rPr>
          <w:i/>
          <w:sz w:val="20"/>
        </w:rPr>
        <w:t xml:space="preserve"> </w:t>
      </w:r>
      <w:r w:rsidRPr="00F0487C">
        <w:rPr>
          <w:i/>
          <w:sz w:val="20"/>
        </w:rPr>
        <w:t>Selangor, Malaysia</w:t>
      </w:r>
      <w:r w:rsidR="00F066AD">
        <w:rPr>
          <w:i/>
          <w:sz w:val="20"/>
        </w:rPr>
        <w:t xml:space="preserve"> </w:t>
      </w:r>
      <w:r w:rsidR="00F066AD" w:rsidRPr="00F066AD">
        <w:rPr>
          <w:iCs/>
          <w:color w:val="FF0000"/>
          <w:sz w:val="20"/>
        </w:rPr>
        <w:t>(10pt)</w:t>
      </w:r>
    </w:p>
    <w:p w14:paraId="48827DE5" w14:textId="6F248DF0" w:rsidR="006E73A2" w:rsidRPr="00F0487C" w:rsidRDefault="00000000" w:rsidP="00F066AD">
      <w:pPr>
        <w:spacing w:before="15" w:line="230" w:lineRule="exact"/>
        <w:ind w:left="317" w:right="287"/>
        <w:jc w:val="center"/>
        <w:rPr>
          <w:i/>
          <w:sz w:val="20"/>
        </w:rPr>
      </w:pPr>
      <w:r w:rsidRPr="00F0487C">
        <w:rPr>
          <w:i/>
          <w:position w:val="9"/>
          <w:sz w:val="13"/>
        </w:rPr>
        <w:t>2</w:t>
      </w:r>
      <w:r w:rsidR="00284748" w:rsidRPr="00F0487C">
        <w:rPr>
          <w:i/>
          <w:sz w:val="20"/>
        </w:rPr>
        <w:t>Department</w:t>
      </w:r>
      <w:r w:rsidR="004C3D8A" w:rsidRPr="00F0487C">
        <w:rPr>
          <w:i/>
          <w:sz w:val="20"/>
        </w:rPr>
        <w:t xml:space="preserve"> of xxx</w:t>
      </w:r>
      <w:r w:rsidR="00284748" w:rsidRPr="00F0487C">
        <w:rPr>
          <w:i/>
          <w:sz w:val="20"/>
        </w:rPr>
        <w:t>, Institute</w:t>
      </w:r>
      <w:r w:rsidR="004C3D8A" w:rsidRPr="00F0487C">
        <w:rPr>
          <w:i/>
          <w:sz w:val="20"/>
        </w:rPr>
        <w:t xml:space="preserve"> of xxx</w:t>
      </w:r>
      <w:r w:rsidR="00284748" w:rsidRPr="00F0487C">
        <w:rPr>
          <w:i/>
          <w:sz w:val="20"/>
        </w:rPr>
        <w:t>, State, Country</w:t>
      </w:r>
    </w:p>
    <w:p w14:paraId="51248B7D" w14:textId="30BAE358" w:rsidR="006E73A2" w:rsidRPr="00F0487C" w:rsidRDefault="00000000" w:rsidP="00F066AD">
      <w:pPr>
        <w:spacing w:line="228" w:lineRule="exact"/>
        <w:ind w:left="317"/>
        <w:jc w:val="center"/>
        <w:rPr>
          <w:i/>
          <w:sz w:val="20"/>
        </w:rPr>
      </w:pPr>
      <w:r w:rsidRPr="00F0487C">
        <w:rPr>
          <w:b/>
          <w:i/>
          <w:sz w:val="20"/>
        </w:rPr>
        <w:t xml:space="preserve">* </w:t>
      </w:r>
      <w:r w:rsidRPr="00F0487C">
        <w:rPr>
          <w:i/>
          <w:sz w:val="20"/>
        </w:rPr>
        <w:t xml:space="preserve">e-mail of corresponding author: </w:t>
      </w:r>
      <w:r w:rsidR="00284748" w:rsidRPr="00F0487C">
        <w:rPr>
          <w:i/>
          <w:sz w:val="20"/>
        </w:rPr>
        <w:t>xxx@ukm.edu.my</w:t>
      </w:r>
    </w:p>
    <w:p w14:paraId="02081753" w14:textId="77777777" w:rsidR="006E73A2" w:rsidRPr="00F0487C" w:rsidRDefault="00000000" w:rsidP="00F066AD">
      <w:pPr>
        <w:pStyle w:val="BodyText"/>
        <w:spacing w:before="10"/>
        <w:jc w:val="both"/>
        <w:rPr>
          <w:i/>
          <w:sz w:val="20"/>
        </w:rPr>
      </w:pPr>
      <w:r w:rsidRPr="00F0487C">
        <w:pict w14:anchorId="4B4BCA66">
          <v:shape id="_x0000_s2057" style="position:absolute;left:0;text-align:left;margin-left:99.4pt;margin-top:14.4pt;width:439.9pt;height:.1pt;z-index:-251658752;mso-wrap-distance-left:0;mso-wrap-distance-right:0;mso-position-horizontal-relative:page" coordorigin="1988,288" coordsize="8798,0" path="m1988,288r8797,e" filled="f" strokeweight=".72pt">
            <v:path arrowok="t"/>
            <w10:wrap type="topAndBottom" anchorx="page"/>
          </v:shape>
        </w:pict>
      </w:r>
    </w:p>
    <w:p w14:paraId="0B73879F" w14:textId="77777777" w:rsidR="006E73A2" w:rsidRPr="00F0487C" w:rsidRDefault="006E73A2" w:rsidP="00F066AD">
      <w:pPr>
        <w:pStyle w:val="BodyText"/>
        <w:spacing w:before="11"/>
        <w:jc w:val="both"/>
        <w:rPr>
          <w:i/>
          <w:sz w:val="8"/>
        </w:rPr>
      </w:pPr>
    </w:p>
    <w:p w14:paraId="4DD3E11C" w14:textId="59C6AF1A" w:rsidR="0000387B" w:rsidRPr="00F0487C" w:rsidRDefault="0000387B" w:rsidP="00F066AD">
      <w:pPr>
        <w:ind w:left="336" w:right="216"/>
        <w:jc w:val="both"/>
        <w:rPr>
          <w:sz w:val="20"/>
        </w:rPr>
      </w:pPr>
      <w:r w:rsidRPr="00F0487C">
        <w:rPr>
          <w:b/>
          <w:sz w:val="20"/>
        </w:rPr>
        <w:t xml:space="preserve">Abstract: </w:t>
      </w:r>
      <w:r w:rsidRPr="00F0487C">
        <w:rPr>
          <w:sz w:val="20"/>
        </w:rPr>
        <w:t>The manuscript must include an abstract, describing its main points not more than 200 words in the Malay and English language. If the article was written in Bahasa Malaysia, then the Bahasa Malaysia abstract must precede the English abstract. If the article was written in English, the English abstract must precede the Malay abstract. Assistance will be provided by the editorial board for non-Malaysian to write the Bahasa Malaysia abstract. The abstract should be clear and informative when read in isolation. It should contain a problem statement, research objectives, methodology, results and conclusion. Both abstracts must be written single spacing and both the font size of 10. The manuscript should be supplied with 3-5 keywords after the abstract and separated by semicolon.</w:t>
      </w:r>
      <w:r w:rsidR="00F066AD">
        <w:rPr>
          <w:sz w:val="20"/>
        </w:rPr>
        <w:t xml:space="preserve"> </w:t>
      </w:r>
      <w:r w:rsidR="00F066AD" w:rsidRPr="00F066AD">
        <w:rPr>
          <w:iCs/>
          <w:color w:val="FF0000"/>
          <w:sz w:val="20"/>
        </w:rPr>
        <w:t>(10pt)</w:t>
      </w:r>
    </w:p>
    <w:p w14:paraId="4159C30E" w14:textId="77777777" w:rsidR="0000387B" w:rsidRPr="00F0487C" w:rsidRDefault="0000387B" w:rsidP="00F066AD">
      <w:pPr>
        <w:ind w:left="336" w:right="216"/>
        <w:jc w:val="both"/>
        <w:rPr>
          <w:sz w:val="20"/>
        </w:rPr>
      </w:pPr>
    </w:p>
    <w:p w14:paraId="73B2F8E0" w14:textId="169A7688" w:rsidR="0000387B" w:rsidRPr="00F066AD" w:rsidRDefault="0000387B" w:rsidP="00F066AD">
      <w:pPr>
        <w:ind w:left="336"/>
        <w:jc w:val="both"/>
        <w:rPr>
          <w:iCs/>
          <w:sz w:val="20"/>
        </w:rPr>
      </w:pPr>
      <w:r w:rsidRPr="00F0487C">
        <w:rPr>
          <w:b/>
          <w:sz w:val="20"/>
        </w:rPr>
        <w:t xml:space="preserve">Keywords: </w:t>
      </w:r>
      <w:r w:rsidRPr="00F0487C">
        <w:rPr>
          <w:i/>
          <w:sz w:val="20"/>
        </w:rPr>
        <w:t>Abstract; language; manuscript</w:t>
      </w:r>
      <w:r w:rsidR="00F066AD">
        <w:rPr>
          <w:i/>
          <w:sz w:val="20"/>
        </w:rPr>
        <w:t>;</w:t>
      </w:r>
      <w:r w:rsidRPr="00F0487C">
        <w:rPr>
          <w:i/>
          <w:sz w:val="20"/>
        </w:rPr>
        <w:t xml:space="preserve"> number of words</w:t>
      </w:r>
      <w:r w:rsidR="00F066AD">
        <w:rPr>
          <w:i/>
          <w:sz w:val="20"/>
        </w:rPr>
        <w:t xml:space="preserve"> </w:t>
      </w:r>
      <w:r w:rsidR="00F066AD" w:rsidRPr="00F066AD">
        <w:rPr>
          <w:iCs/>
          <w:color w:val="FF0000"/>
          <w:sz w:val="20"/>
        </w:rPr>
        <w:t>(10pt)</w:t>
      </w:r>
    </w:p>
    <w:p w14:paraId="5EC982FC" w14:textId="77777777" w:rsidR="0000387B" w:rsidRPr="00F0487C" w:rsidRDefault="0000387B" w:rsidP="00F066AD">
      <w:pPr>
        <w:ind w:left="336" w:right="216"/>
        <w:jc w:val="both"/>
        <w:rPr>
          <w:sz w:val="20"/>
        </w:rPr>
      </w:pPr>
    </w:p>
    <w:p w14:paraId="6A26A8A4" w14:textId="68662539" w:rsidR="006E73A2" w:rsidRPr="00F0487C" w:rsidRDefault="00000000" w:rsidP="00F066AD">
      <w:pPr>
        <w:spacing w:before="91"/>
        <w:ind w:left="336" w:right="215"/>
        <w:jc w:val="both"/>
        <w:rPr>
          <w:sz w:val="20"/>
        </w:rPr>
      </w:pPr>
      <w:r w:rsidRPr="00F0487C">
        <w:rPr>
          <w:b/>
          <w:sz w:val="20"/>
        </w:rPr>
        <w:t xml:space="preserve">Abstrak: </w:t>
      </w:r>
      <w:r w:rsidR="00284748" w:rsidRPr="00F0487C">
        <w:rPr>
          <w:sz w:val="20"/>
        </w:rPr>
        <w:t>Setiap manuskrip mesti menyertakan abstrak yang menerangkan isi utama manuskrip dalam tidak lebih daripada 200 patah perkataan, ditulis dalam kedua-dua bahasa iaitu Bahasa Malaysia dan Bahasa Inggeris. Jika artikel ditulis dalam Bahasa Malaysia, abstrak dalam Bahasa Malaysia mesti didahulukan diikuti oleh abstrak dalam Bahasa Inggeris. Jika artikel ditulis dalam Bahasa Inggeris, abstrak dalam Bahasa Inggeris mesti didahulukan diikuti oleh abstrak dalam Bahasa Malaysia. Bagi penulis bukan warganegara Malaysia, bantuan akan diberikan oleh pihak editorial untuk menulis abstrak dalam Bahasa Malaysia. Abstrak perlu ditulis dengan jelas dan memberikan maklumat yang mencukupi walaupun dibaca secara berasingan. Kandungan abstrak mesti merangkumi penyataan masalah, objektif kajian, metodologi, hasil kajian, dan kesimpulan. Kedua-dua abstrak hendaklah ditulis dengan jarak tunggal dan menggunakan saiz fon 10. Selepas abstrak, manuskrip perlu disertakan dengan 3 hingga 5 kata kunci yang dipisahkan dengan tanda koma bertitik (semicolon).</w:t>
      </w:r>
    </w:p>
    <w:p w14:paraId="68209028" w14:textId="77777777" w:rsidR="006E73A2" w:rsidRPr="00F0487C" w:rsidRDefault="006E73A2" w:rsidP="00F066AD">
      <w:pPr>
        <w:pStyle w:val="BodyText"/>
        <w:jc w:val="both"/>
        <w:rPr>
          <w:sz w:val="20"/>
        </w:rPr>
      </w:pPr>
    </w:p>
    <w:p w14:paraId="6513A5CE" w14:textId="77777777" w:rsidR="0000387B" w:rsidRPr="00F0487C" w:rsidRDefault="0000387B" w:rsidP="00F066AD">
      <w:pPr>
        <w:ind w:left="336"/>
        <w:jc w:val="both"/>
        <w:rPr>
          <w:i/>
          <w:sz w:val="20"/>
        </w:rPr>
      </w:pPr>
      <w:r w:rsidRPr="00F0487C">
        <w:rPr>
          <w:b/>
          <w:sz w:val="20"/>
        </w:rPr>
        <w:t xml:space="preserve">Kata kunci: </w:t>
      </w:r>
      <w:r w:rsidRPr="00F0487C">
        <w:rPr>
          <w:iCs/>
          <w:sz w:val="20"/>
        </w:rPr>
        <w:t>Abstrak;</w:t>
      </w:r>
      <w:r w:rsidRPr="00F0487C">
        <w:rPr>
          <w:sz w:val="20"/>
        </w:rPr>
        <w:t xml:space="preserve"> bahasa; manuskrip; patah perkataan</w:t>
      </w:r>
    </w:p>
    <w:p w14:paraId="09F48C44" w14:textId="77777777" w:rsidR="006E73A2" w:rsidRPr="00F0487C" w:rsidRDefault="00000000" w:rsidP="00F066AD">
      <w:pPr>
        <w:pStyle w:val="BodyText"/>
        <w:spacing w:before="1"/>
        <w:jc w:val="both"/>
        <w:rPr>
          <w:i/>
          <w:sz w:val="19"/>
        </w:rPr>
      </w:pPr>
      <w:r w:rsidRPr="00F0487C">
        <w:pict w14:anchorId="35A08651">
          <v:shape id="_x0000_s2056" style="position:absolute;left:0;text-align:left;margin-left:99.4pt;margin-top:13.35pt;width:439.9pt;height:.1pt;z-index:-251657728;mso-wrap-distance-left:0;mso-wrap-distance-right:0;mso-position-horizontal-relative:page" coordorigin="1988,267" coordsize="8798,0" path="m1988,267r8797,e" filled="f" strokeweight=".72pt">
            <v:path arrowok="t"/>
            <w10:wrap type="topAndBottom" anchorx="page"/>
          </v:shape>
        </w:pict>
      </w:r>
    </w:p>
    <w:p w14:paraId="05B5B458" w14:textId="77777777" w:rsidR="006E73A2" w:rsidRPr="00F0487C" w:rsidRDefault="006E73A2" w:rsidP="00F066AD">
      <w:pPr>
        <w:jc w:val="both"/>
        <w:rPr>
          <w:sz w:val="19"/>
        </w:rPr>
        <w:sectPr w:rsidR="006E73A2" w:rsidRPr="00F0487C">
          <w:headerReference w:type="default" r:id="rId7"/>
          <w:footerReference w:type="default" r:id="rId8"/>
          <w:type w:val="continuous"/>
          <w:pgSz w:w="11910" w:h="16840"/>
          <w:pgMar w:top="1340" w:right="940" w:bottom="800" w:left="1680" w:header="852" w:footer="611" w:gutter="0"/>
          <w:pgNumType w:start="1"/>
          <w:cols w:space="720"/>
        </w:sectPr>
      </w:pPr>
    </w:p>
    <w:p w14:paraId="26D44AD1" w14:textId="47258D74" w:rsidR="006E73A2" w:rsidRPr="00F066AD" w:rsidRDefault="00000000" w:rsidP="00F066AD">
      <w:pPr>
        <w:pStyle w:val="Heading2"/>
        <w:numPr>
          <w:ilvl w:val="0"/>
          <w:numId w:val="1"/>
        </w:numPr>
        <w:tabs>
          <w:tab w:val="left" w:pos="577"/>
        </w:tabs>
        <w:spacing w:before="84"/>
        <w:ind w:hanging="241"/>
        <w:jc w:val="both"/>
      </w:pPr>
      <w:r w:rsidRPr="00F066AD">
        <w:lastRenderedPageBreak/>
        <w:t>Introduction</w:t>
      </w:r>
      <w:r w:rsidR="00F066AD" w:rsidRPr="00F066AD">
        <w:t xml:space="preserve"> </w:t>
      </w:r>
      <w:r w:rsidR="00F066AD" w:rsidRPr="00F066AD">
        <w:rPr>
          <w:iCs/>
          <w:color w:val="FF0000"/>
        </w:rPr>
        <w:t>(1</w:t>
      </w:r>
      <w:r w:rsidR="00F066AD" w:rsidRPr="00F066AD">
        <w:rPr>
          <w:iCs/>
          <w:color w:val="FF0000"/>
        </w:rPr>
        <w:t>1</w:t>
      </w:r>
      <w:r w:rsidR="00F066AD" w:rsidRPr="00F066AD">
        <w:rPr>
          <w:iCs/>
          <w:color w:val="FF0000"/>
        </w:rPr>
        <w:t>pt)</w:t>
      </w:r>
    </w:p>
    <w:p w14:paraId="39470C44" w14:textId="77777777" w:rsidR="006E73A2" w:rsidRPr="00F0487C" w:rsidRDefault="006E73A2" w:rsidP="00F066AD">
      <w:pPr>
        <w:pStyle w:val="BodyText"/>
        <w:spacing w:before="8"/>
        <w:jc w:val="both"/>
        <w:rPr>
          <w:b/>
          <w:sz w:val="23"/>
        </w:rPr>
      </w:pPr>
    </w:p>
    <w:p w14:paraId="75215884" w14:textId="7BF7D0AD" w:rsidR="0000387B" w:rsidRPr="00F0487C" w:rsidRDefault="0000387B" w:rsidP="00F066AD">
      <w:pPr>
        <w:pStyle w:val="BodyText"/>
        <w:spacing w:before="5"/>
        <w:ind w:left="360"/>
        <w:jc w:val="both"/>
      </w:pPr>
      <w:r w:rsidRPr="00F0487C">
        <w:t xml:space="preserve">The Journal publishes manuscripts written in the Bahasa Malaysia and English language. The length of the manuscript must not exceed 8 pages when the template was used. The manuscript should not have more than a combination of 8 figures and tables. The Title of a manuscript should be concise, descriptive and preferably not exceeding 20 words. Title must be provided in both Bahasa Malaysia and English languages. </w:t>
      </w:r>
      <w:r w:rsidR="00F066AD" w:rsidRPr="00F066AD">
        <w:rPr>
          <w:iCs/>
          <w:color w:val="FF0000"/>
        </w:rPr>
        <w:t>(11pt)</w:t>
      </w:r>
    </w:p>
    <w:p w14:paraId="3B73ED93" w14:textId="0C6286EC" w:rsidR="006E73A2" w:rsidRPr="00F0487C" w:rsidRDefault="0000387B" w:rsidP="00F066AD">
      <w:pPr>
        <w:pStyle w:val="BodyText"/>
        <w:spacing w:before="5"/>
        <w:ind w:left="360" w:firstLine="720"/>
        <w:jc w:val="both"/>
      </w:pPr>
      <w:r w:rsidRPr="00F0487C">
        <w:t>The main title, (Bahasa Malaysia or English depending on the language of the article) must be written in “Title Case”, Times New Roman, bold, centered and font size 14. The translated title (English or Bahasa Malaysia depends on the language of the article) must be provided beneath the main title, using “Title Case” in bracket, centered and font size 12. The manuscript should be divided into the following sections: 1. Introduction, 2. Materials and Methods, 3. Results and Discussion, Conclusion, Acknowledgements (if any) and References. If required, the Results and the Discussion section can be separated.</w:t>
      </w:r>
    </w:p>
    <w:p w14:paraId="7462027C" w14:textId="5FDB7766" w:rsidR="0000387B" w:rsidRPr="00F0487C" w:rsidRDefault="0000387B" w:rsidP="00F066AD">
      <w:pPr>
        <w:pStyle w:val="BodyText"/>
        <w:tabs>
          <w:tab w:val="left" w:pos="360"/>
        </w:tabs>
        <w:spacing w:before="5"/>
        <w:ind w:left="360" w:firstLine="720"/>
        <w:jc w:val="both"/>
      </w:pPr>
      <w:r w:rsidRPr="00F0487C">
        <w:t>The text of the manuscripts should be single spacing and 11-points Times New Roman. Headings of sections should be in Title Case, numbered, bold and flushed to the left (Example: 1. Introduction; 2. Materials and Methods). Subheadings should be typed in sentence-case, numbered, italics and flushed to the left. The text should be typed one space below the section heading/subheadings. The first paragraph after the headings or subheadings should be flush to the left. The second paragraph needs a tab.</w:t>
      </w:r>
    </w:p>
    <w:p w14:paraId="37AF758E" w14:textId="77777777" w:rsidR="0000387B" w:rsidRPr="00F0487C" w:rsidRDefault="0000387B" w:rsidP="00F066AD">
      <w:pPr>
        <w:pStyle w:val="BodyText"/>
        <w:spacing w:before="5"/>
        <w:jc w:val="both"/>
      </w:pPr>
    </w:p>
    <w:p w14:paraId="696DFF56" w14:textId="77777777" w:rsidR="006E73A2" w:rsidRPr="00F0487C" w:rsidRDefault="00000000" w:rsidP="00F066AD">
      <w:pPr>
        <w:pStyle w:val="Heading2"/>
        <w:numPr>
          <w:ilvl w:val="0"/>
          <w:numId w:val="1"/>
        </w:numPr>
        <w:tabs>
          <w:tab w:val="left" w:pos="558"/>
        </w:tabs>
        <w:ind w:left="557" w:hanging="222"/>
        <w:jc w:val="both"/>
      </w:pPr>
      <w:r w:rsidRPr="00F0487C">
        <w:t>Materials and</w:t>
      </w:r>
      <w:r w:rsidRPr="00F0487C">
        <w:rPr>
          <w:spacing w:val="-1"/>
        </w:rPr>
        <w:t xml:space="preserve"> </w:t>
      </w:r>
      <w:r w:rsidRPr="00F0487C">
        <w:t>Methods</w:t>
      </w:r>
    </w:p>
    <w:p w14:paraId="3BE96567" w14:textId="77777777" w:rsidR="006E73A2" w:rsidRPr="00F0487C" w:rsidRDefault="006E73A2" w:rsidP="00F066AD">
      <w:pPr>
        <w:pStyle w:val="BodyText"/>
        <w:spacing w:before="5"/>
        <w:jc w:val="both"/>
        <w:rPr>
          <w:b/>
          <w:sz w:val="21"/>
        </w:rPr>
      </w:pPr>
    </w:p>
    <w:p w14:paraId="03E3EE1F" w14:textId="665863D4" w:rsidR="006E73A2" w:rsidRPr="00F0487C" w:rsidRDefault="00D22F1A" w:rsidP="00F066AD">
      <w:pPr>
        <w:pStyle w:val="ListParagraph"/>
        <w:numPr>
          <w:ilvl w:val="1"/>
          <w:numId w:val="1"/>
        </w:numPr>
        <w:tabs>
          <w:tab w:val="left" w:pos="1056"/>
          <w:tab w:val="left" w:pos="1057"/>
        </w:tabs>
        <w:ind w:hanging="721"/>
        <w:jc w:val="both"/>
        <w:rPr>
          <w:i/>
        </w:rPr>
      </w:pPr>
      <w:r w:rsidRPr="00F0487C">
        <w:rPr>
          <w:i/>
        </w:rPr>
        <w:t>Study area</w:t>
      </w:r>
    </w:p>
    <w:p w14:paraId="5A32DC99" w14:textId="77777777" w:rsidR="006E73A2" w:rsidRPr="00F0487C" w:rsidRDefault="006E73A2" w:rsidP="00F066AD">
      <w:pPr>
        <w:pStyle w:val="BodyText"/>
        <w:jc w:val="both"/>
        <w:rPr>
          <w:i/>
        </w:rPr>
      </w:pPr>
    </w:p>
    <w:p w14:paraId="00057236" w14:textId="401D2D6C" w:rsidR="001076C3" w:rsidRPr="00F0487C" w:rsidRDefault="00D22F1A" w:rsidP="00F066AD">
      <w:pPr>
        <w:ind w:left="360"/>
        <w:jc w:val="both"/>
        <w:rPr>
          <w:iCs/>
        </w:rPr>
      </w:pPr>
      <w:r w:rsidRPr="00F0487C">
        <w:rPr>
          <w:iCs/>
        </w:rPr>
        <w:t xml:space="preserve">The Materials and Methods section should focus on detailing the procedures and data analysis used in the study. For field studies, it is recommended to include a comprehensive description of the study site to provide context and enhance the reproducibility of the research (Figure 1). </w:t>
      </w:r>
      <w:r w:rsidR="00D942BA" w:rsidRPr="00F0487C">
        <w:rPr>
          <w:iCs/>
        </w:rPr>
        <w:t xml:space="preserve"> </w:t>
      </w:r>
      <w:r w:rsidR="001076C3" w:rsidRPr="00F0487C">
        <w:rPr>
          <w:iCs/>
        </w:rPr>
        <w:t xml:space="preserve">    </w:t>
      </w:r>
    </w:p>
    <w:p w14:paraId="1D5C2079" w14:textId="77777777" w:rsidR="001076C3" w:rsidRPr="00F0487C" w:rsidRDefault="001076C3" w:rsidP="00F066AD">
      <w:pPr>
        <w:ind w:left="360"/>
        <w:jc w:val="both"/>
        <w:rPr>
          <w:iCs/>
        </w:rPr>
      </w:pPr>
    </w:p>
    <w:p w14:paraId="59262089" w14:textId="63D788C4" w:rsidR="001076C3" w:rsidRPr="00F0487C" w:rsidRDefault="001076C3" w:rsidP="00F066AD">
      <w:pPr>
        <w:jc w:val="both"/>
        <w:rPr>
          <w:iCs/>
        </w:rPr>
      </w:pPr>
      <w:r w:rsidRPr="00F0487C">
        <w:drawing>
          <wp:anchor distT="0" distB="0" distL="114300" distR="114300" simplePos="0" relativeHeight="251658240" behindDoc="0" locked="0" layoutInCell="1" allowOverlap="1" wp14:anchorId="002D628A" wp14:editId="5BE2BFDD">
            <wp:simplePos x="0" y="0"/>
            <wp:positionH relativeFrom="column">
              <wp:posOffset>645160</wp:posOffset>
            </wp:positionH>
            <wp:positionV relativeFrom="paragraph">
              <wp:posOffset>4445</wp:posOffset>
            </wp:positionV>
            <wp:extent cx="4023360" cy="2860040"/>
            <wp:effectExtent l="0" t="0" r="0" b="0"/>
            <wp:wrapSquare wrapText="bothSides"/>
            <wp:docPr id="1020432461" name="Picture 1" descr="A map of a large ar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432461" name="Picture 1" descr="A map of a large area&#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023360" cy="2860040"/>
                    </a:xfrm>
                    <a:prstGeom prst="rect">
                      <a:avLst/>
                    </a:prstGeom>
                  </pic:spPr>
                </pic:pic>
              </a:graphicData>
            </a:graphic>
            <wp14:sizeRelH relativeFrom="page">
              <wp14:pctWidth>0</wp14:pctWidth>
            </wp14:sizeRelH>
            <wp14:sizeRelV relativeFrom="page">
              <wp14:pctHeight>0</wp14:pctHeight>
            </wp14:sizeRelV>
          </wp:anchor>
        </w:drawing>
      </w:r>
    </w:p>
    <w:p w14:paraId="6D42DAB6" w14:textId="77777777" w:rsidR="001076C3" w:rsidRPr="00F0487C" w:rsidRDefault="001076C3" w:rsidP="00F066AD">
      <w:pPr>
        <w:jc w:val="both"/>
        <w:rPr>
          <w:iCs/>
        </w:rPr>
      </w:pPr>
    </w:p>
    <w:p w14:paraId="38DC2998" w14:textId="77777777" w:rsidR="001076C3" w:rsidRPr="00F0487C" w:rsidRDefault="001076C3" w:rsidP="00F066AD">
      <w:pPr>
        <w:jc w:val="both"/>
      </w:pPr>
    </w:p>
    <w:p w14:paraId="07721A57" w14:textId="77777777" w:rsidR="001076C3" w:rsidRPr="00F0487C" w:rsidRDefault="001076C3" w:rsidP="00F066AD">
      <w:pPr>
        <w:jc w:val="both"/>
      </w:pPr>
    </w:p>
    <w:p w14:paraId="41570944" w14:textId="77777777" w:rsidR="001076C3" w:rsidRPr="00F0487C" w:rsidRDefault="001076C3" w:rsidP="00F066AD">
      <w:pPr>
        <w:jc w:val="both"/>
      </w:pPr>
    </w:p>
    <w:p w14:paraId="24B510A2" w14:textId="77777777" w:rsidR="001076C3" w:rsidRPr="00F0487C" w:rsidRDefault="001076C3" w:rsidP="00F066AD">
      <w:pPr>
        <w:jc w:val="both"/>
      </w:pPr>
    </w:p>
    <w:p w14:paraId="68C80EB2" w14:textId="77777777" w:rsidR="001076C3" w:rsidRPr="00F0487C" w:rsidRDefault="001076C3" w:rsidP="00F066AD">
      <w:pPr>
        <w:jc w:val="both"/>
      </w:pPr>
    </w:p>
    <w:p w14:paraId="4315EC83" w14:textId="77777777" w:rsidR="001076C3" w:rsidRPr="00F0487C" w:rsidRDefault="001076C3" w:rsidP="00F066AD">
      <w:pPr>
        <w:jc w:val="both"/>
      </w:pPr>
    </w:p>
    <w:p w14:paraId="39F42DBC" w14:textId="77777777" w:rsidR="001076C3" w:rsidRPr="00F0487C" w:rsidRDefault="001076C3" w:rsidP="00F066AD">
      <w:pPr>
        <w:jc w:val="both"/>
      </w:pPr>
    </w:p>
    <w:p w14:paraId="66C26AEC" w14:textId="77777777" w:rsidR="001076C3" w:rsidRPr="00F0487C" w:rsidRDefault="001076C3" w:rsidP="00F066AD">
      <w:pPr>
        <w:jc w:val="both"/>
      </w:pPr>
    </w:p>
    <w:p w14:paraId="73D16A61" w14:textId="77777777" w:rsidR="001076C3" w:rsidRPr="00F0487C" w:rsidRDefault="001076C3" w:rsidP="00F066AD">
      <w:pPr>
        <w:jc w:val="both"/>
      </w:pPr>
    </w:p>
    <w:p w14:paraId="27572B83" w14:textId="77777777" w:rsidR="001076C3" w:rsidRPr="00F0487C" w:rsidRDefault="001076C3" w:rsidP="00F066AD">
      <w:pPr>
        <w:jc w:val="both"/>
      </w:pPr>
    </w:p>
    <w:p w14:paraId="185C422A" w14:textId="77777777" w:rsidR="001076C3" w:rsidRPr="00F0487C" w:rsidRDefault="001076C3" w:rsidP="00F066AD">
      <w:pPr>
        <w:jc w:val="both"/>
      </w:pPr>
    </w:p>
    <w:p w14:paraId="41C7099C" w14:textId="77777777" w:rsidR="001076C3" w:rsidRPr="00F0487C" w:rsidRDefault="001076C3" w:rsidP="00F066AD">
      <w:pPr>
        <w:jc w:val="both"/>
      </w:pPr>
    </w:p>
    <w:p w14:paraId="26A26CD3" w14:textId="77777777" w:rsidR="001076C3" w:rsidRPr="00F0487C" w:rsidRDefault="001076C3" w:rsidP="00F066AD">
      <w:pPr>
        <w:jc w:val="both"/>
      </w:pPr>
    </w:p>
    <w:p w14:paraId="6271EFF5" w14:textId="77777777" w:rsidR="001076C3" w:rsidRPr="00F0487C" w:rsidRDefault="001076C3" w:rsidP="00F066AD">
      <w:pPr>
        <w:jc w:val="both"/>
      </w:pPr>
    </w:p>
    <w:p w14:paraId="16D14974" w14:textId="77777777" w:rsidR="001076C3" w:rsidRPr="00F0487C" w:rsidRDefault="001076C3" w:rsidP="00F066AD">
      <w:pPr>
        <w:jc w:val="both"/>
      </w:pPr>
    </w:p>
    <w:p w14:paraId="54B45F8A" w14:textId="77777777" w:rsidR="001076C3" w:rsidRPr="00F0487C" w:rsidRDefault="001076C3" w:rsidP="00F066AD">
      <w:pPr>
        <w:jc w:val="both"/>
      </w:pPr>
    </w:p>
    <w:p w14:paraId="2E4D989C" w14:textId="77777777" w:rsidR="001076C3" w:rsidRPr="00F0487C" w:rsidRDefault="001076C3" w:rsidP="00F066AD">
      <w:pPr>
        <w:jc w:val="both"/>
        <w:rPr>
          <w:iCs/>
        </w:rPr>
      </w:pPr>
    </w:p>
    <w:p w14:paraId="49FE546F" w14:textId="1C662A1C" w:rsidR="001076C3" w:rsidRPr="00F0487C" w:rsidRDefault="00F066AD" w:rsidP="00F066AD">
      <w:pPr>
        <w:tabs>
          <w:tab w:val="left" w:pos="1408"/>
        </w:tabs>
        <w:jc w:val="both"/>
        <w:rPr>
          <w:iCs/>
        </w:rPr>
      </w:pPr>
      <w:r w:rsidRPr="00F066AD">
        <w:rPr>
          <w:b/>
          <w:bCs/>
          <w:iCs/>
        </w:rPr>
        <w:t xml:space="preserve">Figure 1. </w:t>
      </w:r>
      <w:r w:rsidR="001076C3" w:rsidRPr="00F066AD">
        <w:rPr>
          <w:b/>
          <w:bCs/>
          <w:iCs/>
        </w:rPr>
        <w:t xml:space="preserve">The location of study site: Hulu Terengganu Hydroelectric Project (HTHEP), Terengganu, Peninsular Malaysia. </w:t>
      </w:r>
      <w:r w:rsidR="001076C3" w:rsidRPr="00F0487C">
        <w:rPr>
          <w:iCs/>
        </w:rPr>
        <w:t>The inset map shows the pre</w:t>
      </w:r>
      <w:r w:rsidR="001076C3" w:rsidRPr="00F0487C">
        <w:rPr>
          <w:iCs/>
        </w:rPr>
        <w:t>-</w:t>
      </w:r>
      <w:r w:rsidR="001076C3" w:rsidRPr="00F0487C">
        <w:rPr>
          <w:iCs/>
        </w:rPr>
        <w:t>inundation</w:t>
      </w:r>
      <w:r w:rsidR="001076C3" w:rsidRPr="00F0487C">
        <w:rPr>
          <w:iCs/>
        </w:rPr>
        <w:t xml:space="preserve"> </w:t>
      </w:r>
      <w:r w:rsidR="001076C3" w:rsidRPr="00F0487C">
        <w:rPr>
          <w:iCs/>
        </w:rPr>
        <w:t>phase of Puah Catchment area with tributaries is still visible</w:t>
      </w:r>
      <w:r w:rsidR="001076C3" w:rsidRPr="00F0487C">
        <w:rPr>
          <w:iCs/>
        </w:rPr>
        <w:t xml:space="preserve">. Adapted from </w:t>
      </w:r>
      <w:r w:rsidR="001076C3" w:rsidRPr="00F0487C">
        <w:rPr>
          <w:iCs/>
        </w:rPr>
        <w:t>Nasruddin-Roshidi</w:t>
      </w:r>
      <w:r w:rsidR="001076C3" w:rsidRPr="00F0487C">
        <w:rPr>
          <w:iCs/>
        </w:rPr>
        <w:t xml:space="preserve"> et al. (2021).</w:t>
      </w:r>
    </w:p>
    <w:p w14:paraId="4B3FEE0A" w14:textId="3CFA0A34" w:rsidR="001076C3" w:rsidRPr="00F0487C" w:rsidRDefault="001076C3" w:rsidP="00F066AD">
      <w:pPr>
        <w:tabs>
          <w:tab w:val="left" w:pos="1408"/>
        </w:tabs>
        <w:jc w:val="both"/>
        <w:sectPr w:rsidR="001076C3" w:rsidRPr="00F0487C">
          <w:pgSz w:w="11910" w:h="16840"/>
          <w:pgMar w:top="1340" w:right="940" w:bottom="800" w:left="1680" w:header="852" w:footer="611" w:gutter="0"/>
          <w:cols w:space="720"/>
        </w:sectPr>
      </w:pPr>
      <w:r w:rsidRPr="00F0487C">
        <w:tab/>
      </w:r>
    </w:p>
    <w:p w14:paraId="5E215399" w14:textId="45A77485" w:rsidR="006E73A2" w:rsidRPr="00F0487C" w:rsidRDefault="00D22F1A" w:rsidP="00F066AD">
      <w:pPr>
        <w:pStyle w:val="ListParagraph"/>
        <w:numPr>
          <w:ilvl w:val="1"/>
          <w:numId w:val="1"/>
        </w:numPr>
        <w:tabs>
          <w:tab w:val="left" w:pos="1056"/>
          <w:tab w:val="left" w:pos="1057"/>
        </w:tabs>
        <w:ind w:hanging="721"/>
        <w:jc w:val="both"/>
        <w:rPr>
          <w:i/>
        </w:rPr>
      </w:pPr>
      <w:r w:rsidRPr="00F0487C">
        <w:rPr>
          <w:i/>
        </w:rPr>
        <w:lastRenderedPageBreak/>
        <w:t>Experimental design</w:t>
      </w:r>
    </w:p>
    <w:p w14:paraId="67823924" w14:textId="77777777" w:rsidR="00584375" w:rsidRPr="00F0487C" w:rsidRDefault="00584375" w:rsidP="00F066AD">
      <w:pPr>
        <w:pStyle w:val="ListParagraph"/>
        <w:tabs>
          <w:tab w:val="left" w:pos="1056"/>
          <w:tab w:val="left" w:pos="1057"/>
        </w:tabs>
        <w:ind w:firstLine="0"/>
        <w:jc w:val="both"/>
        <w:rPr>
          <w:i/>
        </w:rPr>
      </w:pPr>
    </w:p>
    <w:p w14:paraId="10BE2176" w14:textId="1DF4A280" w:rsidR="00D22F1A" w:rsidRPr="00F0487C" w:rsidRDefault="00D22F1A" w:rsidP="00F066AD">
      <w:pPr>
        <w:pStyle w:val="ListParagraph"/>
        <w:numPr>
          <w:ilvl w:val="2"/>
          <w:numId w:val="1"/>
        </w:numPr>
        <w:tabs>
          <w:tab w:val="left" w:pos="1056"/>
          <w:tab w:val="left" w:pos="1057"/>
        </w:tabs>
        <w:jc w:val="both"/>
        <w:rPr>
          <w:i/>
        </w:rPr>
      </w:pPr>
      <w:r w:rsidRPr="00F0487C">
        <w:rPr>
          <w:i/>
        </w:rPr>
        <w:t>Sub-experiment design-1 (replace with your sub-sub-title of experimental design)</w:t>
      </w:r>
    </w:p>
    <w:p w14:paraId="0F6F864A" w14:textId="77777777" w:rsidR="00584375" w:rsidRPr="00F0487C" w:rsidRDefault="00584375" w:rsidP="00F066AD">
      <w:pPr>
        <w:pStyle w:val="ListParagraph"/>
        <w:tabs>
          <w:tab w:val="left" w:pos="1056"/>
          <w:tab w:val="left" w:pos="1057"/>
        </w:tabs>
        <w:ind w:firstLine="0"/>
        <w:jc w:val="both"/>
        <w:rPr>
          <w:iCs/>
        </w:rPr>
      </w:pPr>
    </w:p>
    <w:p w14:paraId="42D59763" w14:textId="5C038E1B" w:rsidR="00D22F1A" w:rsidRPr="00F0487C" w:rsidRDefault="00D22F1A" w:rsidP="00F066AD">
      <w:pPr>
        <w:tabs>
          <w:tab w:val="left" w:pos="1056"/>
        </w:tabs>
        <w:ind w:left="360"/>
        <w:jc w:val="both"/>
        <w:rPr>
          <w:iCs/>
        </w:rPr>
      </w:pPr>
      <w:r w:rsidRPr="00F0487C">
        <w:rPr>
          <w:iCs/>
        </w:rPr>
        <w:t>Xxxxxxx.</w:t>
      </w:r>
    </w:p>
    <w:p w14:paraId="3A0A4DF1" w14:textId="77777777" w:rsidR="00F0487C" w:rsidRPr="00F0487C" w:rsidRDefault="00F0487C" w:rsidP="00F066AD">
      <w:pPr>
        <w:pStyle w:val="ListParagraph"/>
        <w:tabs>
          <w:tab w:val="left" w:pos="1056"/>
          <w:tab w:val="left" w:pos="1057"/>
        </w:tabs>
        <w:ind w:firstLine="0"/>
        <w:jc w:val="both"/>
        <w:rPr>
          <w:i/>
        </w:rPr>
      </w:pPr>
    </w:p>
    <w:p w14:paraId="790F6655" w14:textId="098031D4" w:rsidR="00D22F1A" w:rsidRPr="00F0487C" w:rsidRDefault="00D22F1A" w:rsidP="00F066AD">
      <w:pPr>
        <w:pStyle w:val="ListParagraph"/>
        <w:numPr>
          <w:ilvl w:val="2"/>
          <w:numId w:val="1"/>
        </w:numPr>
        <w:tabs>
          <w:tab w:val="left" w:pos="1056"/>
          <w:tab w:val="left" w:pos="1057"/>
        </w:tabs>
        <w:jc w:val="both"/>
        <w:rPr>
          <w:i/>
        </w:rPr>
      </w:pPr>
      <w:r w:rsidRPr="00F0487C">
        <w:rPr>
          <w:i/>
        </w:rPr>
        <w:t>Sub-experiment design-2 (replace with your sub-sub-title of experimental design)</w:t>
      </w:r>
    </w:p>
    <w:p w14:paraId="6A352778" w14:textId="77777777" w:rsidR="00584375" w:rsidRPr="00F0487C" w:rsidRDefault="00584375" w:rsidP="00F066AD">
      <w:pPr>
        <w:tabs>
          <w:tab w:val="left" w:pos="1056"/>
          <w:tab w:val="left" w:pos="1057"/>
        </w:tabs>
        <w:ind w:left="336"/>
        <w:jc w:val="both"/>
        <w:rPr>
          <w:iCs/>
        </w:rPr>
      </w:pPr>
    </w:p>
    <w:p w14:paraId="3CA2E7AE" w14:textId="3E9B6316" w:rsidR="00D22F1A" w:rsidRPr="00F0487C" w:rsidRDefault="00D22F1A" w:rsidP="00F066AD">
      <w:pPr>
        <w:tabs>
          <w:tab w:val="left" w:pos="1056"/>
          <w:tab w:val="left" w:pos="1057"/>
        </w:tabs>
        <w:ind w:left="336"/>
        <w:jc w:val="both"/>
        <w:rPr>
          <w:iCs/>
        </w:rPr>
      </w:pPr>
      <w:r w:rsidRPr="00F0487C">
        <w:rPr>
          <w:iCs/>
        </w:rPr>
        <w:t>Xxxxxxx.</w:t>
      </w:r>
    </w:p>
    <w:p w14:paraId="3F910580" w14:textId="77777777" w:rsidR="006E73A2" w:rsidRPr="00F0487C" w:rsidRDefault="006E73A2" w:rsidP="00F066AD">
      <w:pPr>
        <w:pStyle w:val="BodyText"/>
        <w:spacing w:before="9"/>
        <w:jc w:val="both"/>
        <w:rPr>
          <w:i/>
          <w:sz w:val="21"/>
        </w:rPr>
      </w:pPr>
    </w:p>
    <w:p w14:paraId="591AC229" w14:textId="0B90B7BF" w:rsidR="006E73A2" w:rsidRPr="00F0487C" w:rsidRDefault="00D22F1A" w:rsidP="00F066AD">
      <w:pPr>
        <w:pStyle w:val="ListParagraph"/>
        <w:numPr>
          <w:ilvl w:val="1"/>
          <w:numId w:val="1"/>
        </w:numPr>
        <w:tabs>
          <w:tab w:val="left" w:pos="1056"/>
          <w:tab w:val="left" w:pos="1057"/>
        </w:tabs>
        <w:ind w:hanging="721"/>
        <w:jc w:val="both"/>
        <w:rPr>
          <w:i/>
        </w:rPr>
      </w:pPr>
      <w:r w:rsidRPr="00F0487C">
        <w:rPr>
          <w:i/>
        </w:rPr>
        <w:t>Data analysis</w:t>
      </w:r>
    </w:p>
    <w:p w14:paraId="5233CE4A" w14:textId="77777777" w:rsidR="00584375" w:rsidRPr="00F0487C" w:rsidRDefault="00584375" w:rsidP="00F066AD">
      <w:pPr>
        <w:tabs>
          <w:tab w:val="left" w:pos="1056"/>
          <w:tab w:val="left" w:pos="1057"/>
        </w:tabs>
        <w:jc w:val="both"/>
        <w:rPr>
          <w:iCs/>
        </w:rPr>
      </w:pPr>
    </w:p>
    <w:p w14:paraId="05532595" w14:textId="6AA83630" w:rsidR="00584375" w:rsidRPr="00F0487C" w:rsidRDefault="00584375" w:rsidP="00F066AD">
      <w:pPr>
        <w:tabs>
          <w:tab w:val="left" w:pos="1056"/>
          <w:tab w:val="left" w:pos="1057"/>
        </w:tabs>
        <w:ind w:left="360"/>
        <w:jc w:val="both"/>
        <w:rPr>
          <w:iCs/>
        </w:rPr>
      </w:pPr>
      <w:r w:rsidRPr="00F0487C">
        <w:rPr>
          <w:iCs/>
        </w:rPr>
        <w:t>Xxxxxxx.</w:t>
      </w:r>
    </w:p>
    <w:p w14:paraId="72978685" w14:textId="77777777" w:rsidR="006E73A2" w:rsidRPr="00F0487C" w:rsidRDefault="006E73A2" w:rsidP="00F066AD">
      <w:pPr>
        <w:pStyle w:val="BodyText"/>
        <w:jc w:val="both"/>
        <w:rPr>
          <w:i/>
        </w:rPr>
      </w:pPr>
    </w:p>
    <w:p w14:paraId="1CCBED66" w14:textId="77777777" w:rsidR="006E73A2" w:rsidRPr="00F0487C" w:rsidRDefault="00000000" w:rsidP="00F066AD">
      <w:pPr>
        <w:pStyle w:val="Heading2"/>
        <w:numPr>
          <w:ilvl w:val="0"/>
          <w:numId w:val="1"/>
        </w:numPr>
        <w:tabs>
          <w:tab w:val="left" w:pos="558"/>
        </w:tabs>
        <w:ind w:left="557" w:hanging="222"/>
        <w:jc w:val="both"/>
      </w:pPr>
      <w:r w:rsidRPr="00F0487C">
        <w:t>Results and</w:t>
      </w:r>
      <w:r w:rsidRPr="00F0487C">
        <w:rPr>
          <w:spacing w:val="-1"/>
        </w:rPr>
        <w:t xml:space="preserve"> </w:t>
      </w:r>
      <w:r w:rsidRPr="00F0487C">
        <w:t>Discussion</w:t>
      </w:r>
    </w:p>
    <w:p w14:paraId="565F11DC" w14:textId="77777777" w:rsidR="006E73A2" w:rsidRPr="00F0487C" w:rsidRDefault="006E73A2" w:rsidP="00F066AD">
      <w:pPr>
        <w:pStyle w:val="BodyText"/>
        <w:spacing w:before="7"/>
        <w:jc w:val="both"/>
        <w:rPr>
          <w:b/>
          <w:sz w:val="21"/>
        </w:rPr>
      </w:pPr>
    </w:p>
    <w:p w14:paraId="3F05332E" w14:textId="5F25915C" w:rsidR="00584375" w:rsidRPr="00F0487C" w:rsidRDefault="00584375" w:rsidP="00F066AD">
      <w:pPr>
        <w:pStyle w:val="BodyText"/>
        <w:spacing w:before="7"/>
        <w:ind w:left="360"/>
        <w:jc w:val="both"/>
        <w:rPr>
          <w:bCs/>
          <w:sz w:val="21"/>
        </w:rPr>
      </w:pPr>
      <w:r w:rsidRPr="00F0487C">
        <w:rPr>
          <w:bCs/>
          <w:sz w:val="21"/>
        </w:rPr>
        <w:t xml:space="preserve">The manuscript should be divided into the following sections: 1. Introduction, 2. Materials and Methods, 3. Results and Discussion, Conclusion, Acknowledgements (if any) and References. If required, the Results and the Discussion section can be separated. </w:t>
      </w:r>
    </w:p>
    <w:p w14:paraId="3AF98987" w14:textId="77777777" w:rsidR="00584375" w:rsidRPr="00F0487C" w:rsidRDefault="00584375" w:rsidP="00F066AD">
      <w:pPr>
        <w:pStyle w:val="BodyText"/>
        <w:spacing w:before="7"/>
        <w:jc w:val="both"/>
        <w:rPr>
          <w:b/>
          <w:sz w:val="21"/>
        </w:rPr>
      </w:pPr>
    </w:p>
    <w:p w14:paraId="183CFA6B" w14:textId="5C53C973" w:rsidR="006E73A2" w:rsidRPr="00F0487C" w:rsidRDefault="00584375" w:rsidP="00F066AD">
      <w:pPr>
        <w:pStyle w:val="ListParagraph"/>
        <w:numPr>
          <w:ilvl w:val="1"/>
          <w:numId w:val="1"/>
        </w:numPr>
        <w:tabs>
          <w:tab w:val="left" w:pos="1057"/>
        </w:tabs>
        <w:ind w:hanging="721"/>
        <w:jc w:val="both"/>
        <w:rPr>
          <w:i/>
        </w:rPr>
      </w:pPr>
      <w:r w:rsidRPr="00F0487C">
        <w:rPr>
          <w:i/>
        </w:rPr>
        <w:t xml:space="preserve">Results-and-Discussion-1 </w:t>
      </w:r>
      <w:r w:rsidRPr="00F0487C">
        <w:rPr>
          <w:iCs/>
        </w:rPr>
        <w:t>(</w:t>
      </w:r>
      <w:r w:rsidRPr="00F0487C">
        <w:rPr>
          <w:i/>
        </w:rPr>
        <w:t>replace with your sub-sub-title of results-and-discussion</w:t>
      </w:r>
      <w:r w:rsidRPr="00F0487C">
        <w:rPr>
          <w:iCs/>
        </w:rPr>
        <w:t>)</w:t>
      </w:r>
    </w:p>
    <w:p w14:paraId="4B7B1864" w14:textId="77777777" w:rsidR="00584375" w:rsidRPr="00F0487C" w:rsidRDefault="00584375" w:rsidP="00F066AD">
      <w:pPr>
        <w:tabs>
          <w:tab w:val="left" w:pos="1057"/>
        </w:tabs>
        <w:ind w:left="335"/>
        <w:jc w:val="both"/>
        <w:rPr>
          <w:i/>
        </w:rPr>
      </w:pPr>
    </w:p>
    <w:p w14:paraId="67D6B077" w14:textId="77777777" w:rsidR="004A1EF2" w:rsidRPr="00F0487C" w:rsidRDefault="004A1EF2" w:rsidP="00F066AD">
      <w:pPr>
        <w:tabs>
          <w:tab w:val="left" w:pos="1056"/>
          <w:tab w:val="left" w:pos="1057"/>
        </w:tabs>
        <w:ind w:left="360"/>
        <w:jc w:val="both"/>
        <w:rPr>
          <w:iCs/>
        </w:rPr>
      </w:pPr>
      <w:r w:rsidRPr="00F0487C">
        <w:rPr>
          <w:iCs/>
        </w:rPr>
        <w:t>Authors should take note of the limitations set by the size and layout of the journal. Large tables should be avoided. All tables should be included in the manuscript at the site where the authors want it to be. Each table should be provided with a brief and self-explanatory title.</w:t>
      </w:r>
      <w:r w:rsidRPr="00F0487C">
        <w:rPr>
          <w:iCs/>
        </w:rPr>
        <w:tab/>
        <w:t xml:space="preserve">The title of the table must be on the top of the table. The font size for the title is 10, single-spaced, sentence case, bold and centered. The font size for the information in the table is 10. </w:t>
      </w:r>
    </w:p>
    <w:p w14:paraId="2CCB3CEF" w14:textId="74B32DF6" w:rsidR="00584375" w:rsidRPr="00F0487C" w:rsidRDefault="004A1EF2" w:rsidP="00F066AD">
      <w:pPr>
        <w:tabs>
          <w:tab w:val="left" w:pos="1056"/>
          <w:tab w:val="left" w:pos="1057"/>
        </w:tabs>
        <w:ind w:left="360"/>
        <w:jc w:val="both"/>
        <w:rPr>
          <w:iCs/>
        </w:rPr>
      </w:pPr>
      <w:r w:rsidRPr="00F0487C">
        <w:rPr>
          <w:iCs/>
        </w:rPr>
        <w:tab/>
        <w:t>If necessary, footnotes could be provided underneath the table with font size of 10. Vertical lines should not be used to separate columns. Wherever possible, large data set should be presented in two or more tables for clarity. Table should be numbered as Table 1, Table 2, Table 3…</w:t>
      </w:r>
    </w:p>
    <w:p w14:paraId="0202183F" w14:textId="77777777" w:rsidR="00584375" w:rsidRPr="00F0487C" w:rsidRDefault="00584375" w:rsidP="00F066AD">
      <w:pPr>
        <w:tabs>
          <w:tab w:val="left" w:pos="1057"/>
        </w:tabs>
        <w:ind w:left="335"/>
        <w:jc w:val="both"/>
        <w:rPr>
          <w:i/>
        </w:rPr>
      </w:pPr>
    </w:p>
    <w:p w14:paraId="7D9E6666" w14:textId="4D52C523" w:rsidR="004A1EF2" w:rsidRPr="00F066AD" w:rsidRDefault="004A1EF2" w:rsidP="00F066AD">
      <w:pPr>
        <w:pStyle w:val="Heading2"/>
        <w:spacing w:before="138"/>
        <w:ind w:left="360" w:firstLine="0"/>
        <w:jc w:val="both"/>
      </w:pPr>
      <w:r w:rsidRPr="00F066AD">
        <w:t xml:space="preserve">Table 1. </w:t>
      </w:r>
      <w:r w:rsidR="00F0487C" w:rsidRPr="00F066AD">
        <w:t>S</w:t>
      </w:r>
      <w:r w:rsidR="00F0487C" w:rsidRPr="00F066AD">
        <w:t>pecies richness changes: shared species, local extinction, immigration and turnover rate, throughout the dam</w:t>
      </w:r>
      <w:r w:rsidR="00F0487C" w:rsidRPr="00F066AD">
        <w:t xml:space="preserve"> </w:t>
      </w:r>
      <w:r w:rsidR="00F0487C" w:rsidRPr="00F066AD">
        <w:t>development phases</w:t>
      </w:r>
      <w:r w:rsidR="00F066AD" w:rsidRPr="00F066AD">
        <w:t>.</w:t>
      </w:r>
    </w:p>
    <w:tbl>
      <w:tblPr>
        <w:tblpPr w:leftFromText="180" w:rightFromText="180" w:vertAnchor="text" w:horzAnchor="margin" w:tblpX="468" w:tblpY="198"/>
        <w:tblW w:w="8220" w:type="dxa"/>
        <w:tblLook w:val="04A0" w:firstRow="1" w:lastRow="0" w:firstColumn="1" w:lastColumn="0" w:noHBand="0" w:noVBand="1"/>
      </w:tblPr>
      <w:tblGrid>
        <w:gridCol w:w="3420"/>
        <w:gridCol w:w="960"/>
        <w:gridCol w:w="960"/>
        <w:gridCol w:w="960"/>
        <w:gridCol w:w="960"/>
        <w:gridCol w:w="960"/>
      </w:tblGrid>
      <w:tr w:rsidR="00F0487C" w:rsidRPr="00F0487C" w14:paraId="25D12240" w14:textId="77777777" w:rsidTr="00F0487C">
        <w:trPr>
          <w:trHeight w:val="288"/>
        </w:trPr>
        <w:tc>
          <w:tcPr>
            <w:tcW w:w="3420" w:type="dxa"/>
            <w:tcBorders>
              <w:top w:val="single" w:sz="4" w:space="0" w:color="auto"/>
              <w:left w:val="nil"/>
              <w:bottom w:val="single" w:sz="4" w:space="0" w:color="auto"/>
              <w:right w:val="nil"/>
            </w:tcBorders>
            <w:shd w:val="clear" w:color="auto" w:fill="auto"/>
            <w:vAlign w:val="center"/>
            <w:hideMark/>
          </w:tcPr>
          <w:p w14:paraId="64FF1DAD" w14:textId="77777777" w:rsidR="00F0487C" w:rsidRPr="00F0487C" w:rsidRDefault="00F0487C" w:rsidP="00F066AD">
            <w:pPr>
              <w:widowControl/>
              <w:autoSpaceDE/>
              <w:autoSpaceDN/>
              <w:jc w:val="both"/>
              <w:rPr>
                <w:b/>
                <w:bCs/>
                <w:color w:val="000000"/>
                <w:lang w:eastAsia="en-MY"/>
              </w:rPr>
            </w:pPr>
            <w:r w:rsidRPr="00F0487C">
              <w:rPr>
                <w:b/>
                <w:bCs/>
                <w:color w:val="000000"/>
                <w:lang w:eastAsia="en-MY"/>
              </w:rPr>
              <w:t>Phase</w:t>
            </w:r>
          </w:p>
        </w:tc>
        <w:tc>
          <w:tcPr>
            <w:tcW w:w="960" w:type="dxa"/>
            <w:tcBorders>
              <w:top w:val="single" w:sz="4" w:space="0" w:color="auto"/>
              <w:left w:val="nil"/>
              <w:bottom w:val="single" w:sz="4" w:space="0" w:color="auto"/>
              <w:right w:val="nil"/>
            </w:tcBorders>
            <w:shd w:val="clear" w:color="auto" w:fill="auto"/>
            <w:vAlign w:val="center"/>
            <w:hideMark/>
          </w:tcPr>
          <w:p w14:paraId="2A22742E" w14:textId="77777777" w:rsidR="00F0487C" w:rsidRPr="00F0487C" w:rsidRDefault="00F0487C" w:rsidP="00F066AD">
            <w:pPr>
              <w:widowControl/>
              <w:autoSpaceDE/>
              <w:autoSpaceDN/>
              <w:jc w:val="center"/>
              <w:rPr>
                <w:b/>
                <w:bCs/>
                <w:color w:val="000000"/>
                <w:lang w:eastAsia="en-MY"/>
              </w:rPr>
            </w:pPr>
            <w:r w:rsidRPr="00F0487C">
              <w:rPr>
                <w:b/>
                <w:bCs/>
                <w:color w:val="000000"/>
                <w:lang w:eastAsia="en-MY"/>
              </w:rPr>
              <w:t>PL-IN</w:t>
            </w:r>
          </w:p>
        </w:tc>
        <w:tc>
          <w:tcPr>
            <w:tcW w:w="960" w:type="dxa"/>
            <w:tcBorders>
              <w:top w:val="single" w:sz="4" w:space="0" w:color="auto"/>
              <w:left w:val="nil"/>
              <w:bottom w:val="single" w:sz="4" w:space="0" w:color="auto"/>
              <w:right w:val="nil"/>
            </w:tcBorders>
            <w:shd w:val="clear" w:color="auto" w:fill="auto"/>
            <w:vAlign w:val="center"/>
            <w:hideMark/>
          </w:tcPr>
          <w:p w14:paraId="06CFC5A2" w14:textId="77777777" w:rsidR="00F0487C" w:rsidRPr="00F0487C" w:rsidRDefault="00F0487C" w:rsidP="00F066AD">
            <w:pPr>
              <w:widowControl/>
              <w:autoSpaceDE/>
              <w:autoSpaceDN/>
              <w:jc w:val="center"/>
              <w:rPr>
                <w:b/>
                <w:bCs/>
                <w:color w:val="000000"/>
                <w:lang w:eastAsia="en-MY"/>
              </w:rPr>
            </w:pPr>
            <w:r w:rsidRPr="00F0487C">
              <w:rPr>
                <w:b/>
                <w:bCs/>
                <w:color w:val="000000"/>
                <w:lang w:eastAsia="en-MY"/>
              </w:rPr>
              <w:t>PL-OP</w:t>
            </w:r>
          </w:p>
        </w:tc>
        <w:tc>
          <w:tcPr>
            <w:tcW w:w="960" w:type="dxa"/>
            <w:tcBorders>
              <w:top w:val="single" w:sz="4" w:space="0" w:color="auto"/>
              <w:left w:val="nil"/>
              <w:bottom w:val="single" w:sz="4" w:space="0" w:color="auto"/>
              <w:right w:val="nil"/>
            </w:tcBorders>
            <w:shd w:val="clear" w:color="auto" w:fill="auto"/>
            <w:vAlign w:val="center"/>
            <w:hideMark/>
          </w:tcPr>
          <w:p w14:paraId="6BDD7ED0" w14:textId="77777777" w:rsidR="00F0487C" w:rsidRPr="00F0487C" w:rsidRDefault="00F0487C" w:rsidP="00F066AD">
            <w:pPr>
              <w:widowControl/>
              <w:autoSpaceDE/>
              <w:autoSpaceDN/>
              <w:jc w:val="center"/>
              <w:rPr>
                <w:b/>
                <w:bCs/>
                <w:color w:val="000000"/>
                <w:lang w:eastAsia="en-MY"/>
              </w:rPr>
            </w:pPr>
            <w:r w:rsidRPr="00F0487C">
              <w:rPr>
                <w:b/>
                <w:bCs/>
                <w:color w:val="000000"/>
                <w:lang w:eastAsia="en-MY"/>
              </w:rPr>
              <w:t>CN-IN</w:t>
            </w:r>
          </w:p>
        </w:tc>
        <w:tc>
          <w:tcPr>
            <w:tcW w:w="960" w:type="dxa"/>
            <w:tcBorders>
              <w:top w:val="single" w:sz="4" w:space="0" w:color="auto"/>
              <w:left w:val="nil"/>
              <w:bottom w:val="single" w:sz="4" w:space="0" w:color="auto"/>
              <w:right w:val="nil"/>
            </w:tcBorders>
            <w:shd w:val="clear" w:color="auto" w:fill="auto"/>
            <w:vAlign w:val="center"/>
            <w:hideMark/>
          </w:tcPr>
          <w:p w14:paraId="2B56DCC9" w14:textId="77777777" w:rsidR="00F0487C" w:rsidRPr="00F0487C" w:rsidRDefault="00F0487C" w:rsidP="00F066AD">
            <w:pPr>
              <w:widowControl/>
              <w:autoSpaceDE/>
              <w:autoSpaceDN/>
              <w:jc w:val="center"/>
              <w:rPr>
                <w:b/>
                <w:bCs/>
                <w:color w:val="000000"/>
                <w:lang w:eastAsia="en-MY"/>
              </w:rPr>
            </w:pPr>
            <w:r w:rsidRPr="00F0487C">
              <w:rPr>
                <w:b/>
                <w:bCs/>
                <w:color w:val="000000"/>
                <w:lang w:eastAsia="en-MY"/>
              </w:rPr>
              <w:t>CN-OP</w:t>
            </w:r>
          </w:p>
        </w:tc>
        <w:tc>
          <w:tcPr>
            <w:tcW w:w="960" w:type="dxa"/>
            <w:tcBorders>
              <w:top w:val="single" w:sz="4" w:space="0" w:color="auto"/>
              <w:left w:val="nil"/>
              <w:bottom w:val="single" w:sz="4" w:space="0" w:color="auto"/>
              <w:right w:val="nil"/>
            </w:tcBorders>
            <w:shd w:val="clear" w:color="auto" w:fill="auto"/>
            <w:vAlign w:val="center"/>
            <w:hideMark/>
          </w:tcPr>
          <w:p w14:paraId="3E60E229" w14:textId="77777777" w:rsidR="00F0487C" w:rsidRPr="00F0487C" w:rsidRDefault="00F0487C" w:rsidP="00F066AD">
            <w:pPr>
              <w:widowControl/>
              <w:autoSpaceDE/>
              <w:autoSpaceDN/>
              <w:jc w:val="center"/>
              <w:rPr>
                <w:b/>
                <w:bCs/>
                <w:color w:val="000000"/>
                <w:lang w:eastAsia="en-MY"/>
              </w:rPr>
            </w:pPr>
            <w:r w:rsidRPr="00F0487C">
              <w:rPr>
                <w:b/>
                <w:bCs/>
                <w:color w:val="000000"/>
                <w:lang w:eastAsia="en-MY"/>
              </w:rPr>
              <w:t>IN-OP</w:t>
            </w:r>
          </w:p>
        </w:tc>
      </w:tr>
      <w:tr w:rsidR="00F0487C" w:rsidRPr="00F0487C" w14:paraId="31801073" w14:textId="77777777" w:rsidTr="00F0487C">
        <w:trPr>
          <w:trHeight w:val="288"/>
        </w:trPr>
        <w:tc>
          <w:tcPr>
            <w:tcW w:w="3420" w:type="dxa"/>
            <w:tcBorders>
              <w:top w:val="single" w:sz="4" w:space="0" w:color="auto"/>
              <w:left w:val="nil"/>
              <w:bottom w:val="nil"/>
              <w:right w:val="nil"/>
            </w:tcBorders>
            <w:shd w:val="clear" w:color="auto" w:fill="auto"/>
            <w:vAlign w:val="center"/>
            <w:hideMark/>
          </w:tcPr>
          <w:p w14:paraId="631BC58B" w14:textId="77777777" w:rsidR="00F0487C" w:rsidRPr="00F0487C" w:rsidRDefault="00F0487C" w:rsidP="00F066AD">
            <w:pPr>
              <w:widowControl/>
              <w:autoSpaceDE/>
              <w:autoSpaceDN/>
              <w:jc w:val="both"/>
              <w:rPr>
                <w:color w:val="000000"/>
                <w:lang w:eastAsia="en-MY"/>
              </w:rPr>
            </w:pPr>
            <w:r w:rsidRPr="00F0487C">
              <w:rPr>
                <w:color w:val="000000"/>
                <w:lang w:eastAsia="en-MY"/>
              </w:rPr>
              <w:t>Shared species</w:t>
            </w:r>
          </w:p>
        </w:tc>
        <w:tc>
          <w:tcPr>
            <w:tcW w:w="960" w:type="dxa"/>
            <w:tcBorders>
              <w:top w:val="single" w:sz="4" w:space="0" w:color="auto"/>
              <w:left w:val="nil"/>
              <w:bottom w:val="nil"/>
              <w:right w:val="nil"/>
            </w:tcBorders>
            <w:shd w:val="clear" w:color="auto" w:fill="auto"/>
            <w:vAlign w:val="center"/>
            <w:hideMark/>
          </w:tcPr>
          <w:p w14:paraId="3B764C99" w14:textId="77777777" w:rsidR="00F0487C" w:rsidRPr="00F0487C" w:rsidRDefault="00F0487C" w:rsidP="00F066AD">
            <w:pPr>
              <w:widowControl/>
              <w:autoSpaceDE/>
              <w:autoSpaceDN/>
              <w:jc w:val="center"/>
              <w:rPr>
                <w:color w:val="000000"/>
                <w:lang w:eastAsia="en-MY"/>
              </w:rPr>
            </w:pPr>
            <w:r w:rsidRPr="00F0487C">
              <w:rPr>
                <w:color w:val="000000"/>
                <w:lang w:eastAsia="en-MY"/>
              </w:rPr>
              <w:t>80</w:t>
            </w:r>
          </w:p>
        </w:tc>
        <w:tc>
          <w:tcPr>
            <w:tcW w:w="960" w:type="dxa"/>
            <w:tcBorders>
              <w:top w:val="single" w:sz="4" w:space="0" w:color="auto"/>
              <w:left w:val="nil"/>
              <w:bottom w:val="nil"/>
              <w:right w:val="nil"/>
            </w:tcBorders>
            <w:shd w:val="clear" w:color="auto" w:fill="auto"/>
            <w:vAlign w:val="center"/>
            <w:hideMark/>
          </w:tcPr>
          <w:p w14:paraId="44656106" w14:textId="77777777" w:rsidR="00F0487C" w:rsidRPr="00F0487C" w:rsidRDefault="00F0487C" w:rsidP="00F066AD">
            <w:pPr>
              <w:widowControl/>
              <w:autoSpaceDE/>
              <w:autoSpaceDN/>
              <w:jc w:val="center"/>
              <w:rPr>
                <w:color w:val="000000"/>
                <w:lang w:eastAsia="en-MY"/>
              </w:rPr>
            </w:pPr>
            <w:r w:rsidRPr="00F0487C">
              <w:rPr>
                <w:color w:val="000000"/>
                <w:lang w:eastAsia="en-MY"/>
              </w:rPr>
              <w:t>107</w:t>
            </w:r>
          </w:p>
        </w:tc>
        <w:tc>
          <w:tcPr>
            <w:tcW w:w="960" w:type="dxa"/>
            <w:tcBorders>
              <w:top w:val="single" w:sz="4" w:space="0" w:color="auto"/>
              <w:left w:val="nil"/>
              <w:bottom w:val="nil"/>
              <w:right w:val="nil"/>
            </w:tcBorders>
            <w:shd w:val="clear" w:color="auto" w:fill="auto"/>
            <w:vAlign w:val="center"/>
            <w:hideMark/>
          </w:tcPr>
          <w:p w14:paraId="0047FC0D" w14:textId="77777777" w:rsidR="00F0487C" w:rsidRPr="00F0487C" w:rsidRDefault="00F0487C" w:rsidP="00F066AD">
            <w:pPr>
              <w:widowControl/>
              <w:autoSpaceDE/>
              <w:autoSpaceDN/>
              <w:jc w:val="center"/>
              <w:rPr>
                <w:color w:val="000000"/>
                <w:lang w:eastAsia="en-MY"/>
              </w:rPr>
            </w:pPr>
            <w:r w:rsidRPr="00F0487C">
              <w:rPr>
                <w:color w:val="000000"/>
                <w:lang w:eastAsia="en-MY"/>
              </w:rPr>
              <w:t>40</w:t>
            </w:r>
          </w:p>
        </w:tc>
        <w:tc>
          <w:tcPr>
            <w:tcW w:w="960" w:type="dxa"/>
            <w:tcBorders>
              <w:top w:val="single" w:sz="4" w:space="0" w:color="auto"/>
              <w:left w:val="nil"/>
              <w:bottom w:val="nil"/>
              <w:right w:val="nil"/>
            </w:tcBorders>
            <w:shd w:val="clear" w:color="auto" w:fill="auto"/>
            <w:vAlign w:val="center"/>
            <w:hideMark/>
          </w:tcPr>
          <w:p w14:paraId="649D1C2B" w14:textId="77777777" w:rsidR="00F0487C" w:rsidRPr="00F0487C" w:rsidRDefault="00F0487C" w:rsidP="00F066AD">
            <w:pPr>
              <w:widowControl/>
              <w:autoSpaceDE/>
              <w:autoSpaceDN/>
              <w:jc w:val="center"/>
              <w:rPr>
                <w:color w:val="000000"/>
                <w:lang w:eastAsia="en-MY"/>
              </w:rPr>
            </w:pPr>
            <w:r w:rsidRPr="00F0487C">
              <w:rPr>
                <w:color w:val="000000"/>
                <w:lang w:eastAsia="en-MY"/>
              </w:rPr>
              <w:t>39</w:t>
            </w:r>
          </w:p>
        </w:tc>
        <w:tc>
          <w:tcPr>
            <w:tcW w:w="960" w:type="dxa"/>
            <w:tcBorders>
              <w:top w:val="single" w:sz="4" w:space="0" w:color="auto"/>
              <w:left w:val="nil"/>
              <w:bottom w:val="nil"/>
              <w:right w:val="nil"/>
            </w:tcBorders>
            <w:shd w:val="clear" w:color="auto" w:fill="auto"/>
            <w:vAlign w:val="center"/>
            <w:hideMark/>
          </w:tcPr>
          <w:p w14:paraId="7A4E8638" w14:textId="77777777" w:rsidR="00F0487C" w:rsidRPr="00F0487C" w:rsidRDefault="00F0487C" w:rsidP="00F066AD">
            <w:pPr>
              <w:widowControl/>
              <w:autoSpaceDE/>
              <w:autoSpaceDN/>
              <w:jc w:val="center"/>
              <w:rPr>
                <w:color w:val="000000"/>
                <w:lang w:eastAsia="en-MY"/>
              </w:rPr>
            </w:pPr>
            <w:r w:rsidRPr="00F0487C">
              <w:rPr>
                <w:color w:val="000000"/>
                <w:lang w:eastAsia="en-MY"/>
              </w:rPr>
              <w:t>59</w:t>
            </w:r>
          </w:p>
        </w:tc>
      </w:tr>
      <w:tr w:rsidR="00F0487C" w:rsidRPr="00F0487C" w14:paraId="6688BD32" w14:textId="77777777" w:rsidTr="00F0487C">
        <w:trPr>
          <w:trHeight w:val="288"/>
        </w:trPr>
        <w:tc>
          <w:tcPr>
            <w:tcW w:w="3420" w:type="dxa"/>
            <w:tcBorders>
              <w:top w:val="nil"/>
              <w:left w:val="nil"/>
              <w:bottom w:val="nil"/>
              <w:right w:val="nil"/>
            </w:tcBorders>
            <w:shd w:val="clear" w:color="auto" w:fill="auto"/>
            <w:vAlign w:val="center"/>
            <w:hideMark/>
          </w:tcPr>
          <w:p w14:paraId="1903DA3B" w14:textId="77777777" w:rsidR="00F0487C" w:rsidRPr="00F0487C" w:rsidRDefault="00F0487C" w:rsidP="00F066AD">
            <w:pPr>
              <w:widowControl/>
              <w:autoSpaceDE/>
              <w:autoSpaceDN/>
              <w:jc w:val="both"/>
              <w:rPr>
                <w:color w:val="000000"/>
                <w:lang w:eastAsia="en-MY"/>
              </w:rPr>
            </w:pPr>
            <w:r w:rsidRPr="00F0487C">
              <w:rPr>
                <w:color w:val="000000"/>
                <w:lang w:eastAsia="en-MY"/>
              </w:rPr>
              <w:t>Extinction</w:t>
            </w:r>
          </w:p>
        </w:tc>
        <w:tc>
          <w:tcPr>
            <w:tcW w:w="960" w:type="dxa"/>
            <w:tcBorders>
              <w:top w:val="nil"/>
              <w:left w:val="nil"/>
              <w:bottom w:val="nil"/>
              <w:right w:val="nil"/>
            </w:tcBorders>
            <w:shd w:val="clear" w:color="auto" w:fill="auto"/>
            <w:vAlign w:val="center"/>
            <w:hideMark/>
          </w:tcPr>
          <w:p w14:paraId="43D7C3BA" w14:textId="77777777" w:rsidR="00F0487C" w:rsidRPr="00F0487C" w:rsidRDefault="00F0487C" w:rsidP="00F066AD">
            <w:pPr>
              <w:widowControl/>
              <w:autoSpaceDE/>
              <w:autoSpaceDN/>
              <w:jc w:val="center"/>
              <w:rPr>
                <w:color w:val="000000"/>
                <w:lang w:eastAsia="en-MY"/>
              </w:rPr>
            </w:pPr>
            <w:r w:rsidRPr="00F0487C">
              <w:rPr>
                <w:color w:val="000000"/>
                <w:lang w:eastAsia="en-MY"/>
              </w:rPr>
              <w:t>194</w:t>
            </w:r>
          </w:p>
        </w:tc>
        <w:tc>
          <w:tcPr>
            <w:tcW w:w="960" w:type="dxa"/>
            <w:tcBorders>
              <w:top w:val="nil"/>
              <w:left w:val="nil"/>
              <w:bottom w:val="nil"/>
              <w:right w:val="nil"/>
            </w:tcBorders>
            <w:shd w:val="clear" w:color="auto" w:fill="auto"/>
            <w:vAlign w:val="center"/>
            <w:hideMark/>
          </w:tcPr>
          <w:p w14:paraId="477C9C8C" w14:textId="77777777" w:rsidR="00F0487C" w:rsidRPr="00F0487C" w:rsidRDefault="00F0487C" w:rsidP="00F066AD">
            <w:pPr>
              <w:widowControl/>
              <w:autoSpaceDE/>
              <w:autoSpaceDN/>
              <w:jc w:val="center"/>
              <w:rPr>
                <w:color w:val="000000"/>
                <w:lang w:eastAsia="en-MY"/>
              </w:rPr>
            </w:pPr>
            <w:r w:rsidRPr="00F0487C">
              <w:rPr>
                <w:color w:val="000000"/>
                <w:lang w:eastAsia="en-MY"/>
              </w:rPr>
              <w:t>169</w:t>
            </w:r>
          </w:p>
        </w:tc>
        <w:tc>
          <w:tcPr>
            <w:tcW w:w="960" w:type="dxa"/>
            <w:tcBorders>
              <w:top w:val="nil"/>
              <w:left w:val="nil"/>
              <w:bottom w:val="nil"/>
              <w:right w:val="nil"/>
            </w:tcBorders>
            <w:shd w:val="clear" w:color="auto" w:fill="auto"/>
            <w:vAlign w:val="center"/>
            <w:hideMark/>
          </w:tcPr>
          <w:p w14:paraId="128E88DE" w14:textId="77777777" w:rsidR="00F0487C" w:rsidRPr="00F0487C" w:rsidRDefault="00F0487C" w:rsidP="00F066AD">
            <w:pPr>
              <w:widowControl/>
              <w:autoSpaceDE/>
              <w:autoSpaceDN/>
              <w:jc w:val="center"/>
              <w:rPr>
                <w:color w:val="000000"/>
                <w:lang w:eastAsia="en-MY"/>
              </w:rPr>
            </w:pPr>
            <w:r w:rsidRPr="00F0487C">
              <w:rPr>
                <w:color w:val="000000"/>
                <w:lang w:eastAsia="en-MY"/>
              </w:rPr>
              <w:t>67</w:t>
            </w:r>
          </w:p>
        </w:tc>
        <w:tc>
          <w:tcPr>
            <w:tcW w:w="960" w:type="dxa"/>
            <w:tcBorders>
              <w:top w:val="nil"/>
              <w:left w:val="nil"/>
              <w:bottom w:val="nil"/>
              <w:right w:val="nil"/>
            </w:tcBorders>
            <w:shd w:val="clear" w:color="auto" w:fill="auto"/>
            <w:vAlign w:val="center"/>
            <w:hideMark/>
          </w:tcPr>
          <w:p w14:paraId="0125769B" w14:textId="77777777" w:rsidR="00F0487C" w:rsidRPr="00F0487C" w:rsidRDefault="00F0487C" w:rsidP="00F066AD">
            <w:pPr>
              <w:widowControl/>
              <w:autoSpaceDE/>
              <w:autoSpaceDN/>
              <w:jc w:val="center"/>
              <w:rPr>
                <w:color w:val="000000"/>
                <w:lang w:eastAsia="en-MY"/>
              </w:rPr>
            </w:pPr>
            <w:r w:rsidRPr="00F0487C">
              <w:rPr>
                <w:color w:val="000000"/>
                <w:lang w:eastAsia="en-MY"/>
              </w:rPr>
              <w:t>28</w:t>
            </w:r>
          </w:p>
        </w:tc>
        <w:tc>
          <w:tcPr>
            <w:tcW w:w="960" w:type="dxa"/>
            <w:tcBorders>
              <w:top w:val="nil"/>
              <w:left w:val="nil"/>
              <w:bottom w:val="nil"/>
              <w:right w:val="nil"/>
            </w:tcBorders>
            <w:shd w:val="clear" w:color="auto" w:fill="auto"/>
            <w:vAlign w:val="center"/>
            <w:hideMark/>
          </w:tcPr>
          <w:p w14:paraId="1543D681" w14:textId="77777777" w:rsidR="00F0487C" w:rsidRPr="00F0487C" w:rsidRDefault="00F0487C" w:rsidP="00F066AD">
            <w:pPr>
              <w:widowControl/>
              <w:autoSpaceDE/>
              <w:autoSpaceDN/>
              <w:jc w:val="center"/>
              <w:rPr>
                <w:color w:val="000000"/>
                <w:lang w:eastAsia="en-MY"/>
              </w:rPr>
            </w:pPr>
            <w:r w:rsidRPr="00F0487C">
              <w:rPr>
                <w:color w:val="000000"/>
                <w:lang w:eastAsia="en-MY"/>
              </w:rPr>
              <w:t>33</w:t>
            </w:r>
          </w:p>
        </w:tc>
      </w:tr>
      <w:tr w:rsidR="00F0487C" w:rsidRPr="00F0487C" w14:paraId="796F4961" w14:textId="77777777" w:rsidTr="00F0487C">
        <w:trPr>
          <w:trHeight w:val="288"/>
        </w:trPr>
        <w:tc>
          <w:tcPr>
            <w:tcW w:w="3420" w:type="dxa"/>
            <w:tcBorders>
              <w:top w:val="nil"/>
              <w:left w:val="nil"/>
              <w:right w:val="nil"/>
            </w:tcBorders>
            <w:shd w:val="clear" w:color="auto" w:fill="auto"/>
            <w:vAlign w:val="center"/>
            <w:hideMark/>
          </w:tcPr>
          <w:p w14:paraId="26CF248F" w14:textId="77777777" w:rsidR="00F0487C" w:rsidRPr="00F0487C" w:rsidRDefault="00F0487C" w:rsidP="00F066AD">
            <w:pPr>
              <w:widowControl/>
              <w:autoSpaceDE/>
              <w:autoSpaceDN/>
              <w:jc w:val="both"/>
              <w:rPr>
                <w:color w:val="000000"/>
                <w:lang w:eastAsia="en-MY"/>
              </w:rPr>
            </w:pPr>
            <w:r w:rsidRPr="00F0487C">
              <w:rPr>
                <w:color w:val="000000"/>
                <w:lang w:eastAsia="en-MY"/>
              </w:rPr>
              <w:t>Immigration (recolonisation/newly recorded)</w:t>
            </w:r>
          </w:p>
        </w:tc>
        <w:tc>
          <w:tcPr>
            <w:tcW w:w="960" w:type="dxa"/>
            <w:tcBorders>
              <w:top w:val="nil"/>
              <w:left w:val="nil"/>
              <w:right w:val="nil"/>
            </w:tcBorders>
            <w:shd w:val="clear" w:color="auto" w:fill="auto"/>
            <w:vAlign w:val="center"/>
            <w:hideMark/>
          </w:tcPr>
          <w:p w14:paraId="73BA47A1" w14:textId="77777777" w:rsidR="00F0487C" w:rsidRPr="00F0487C" w:rsidRDefault="00F0487C" w:rsidP="00F066AD">
            <w:pPr>
              <w:widowControl/>
              <w:autoSpaceDE/>
              <w:autoSpaceDN/>
              <w:jc w:val="center"/>
              <w:rPr>
                <w:color w:val="000000"/>
                <w:lang w:eastAsia="en-MY"/>
              </w:rPr>
            </w:pPr>
            <w:r w:rsidRPr="00F0487C">
              <w:rPr>
                <w:color w:val="000000"/>
                <w:lang w:eastAsia="en-MY"/>
              </w:rPr>
              <w:t>10</w:t>
            </w:r>
          </w:p>
        </w:tc>
        <w:tc>
          <w:tcPr>
            <w:tcW w:w="960" w:type="dxa"/>
            <w:tcBorders>
              <w:top w:val="nil"/>
              <w:left w:val="nil"/>
              <w:right w:val="nil"/>
            </w:tcBorders>
            <w:shd w:val="clear" w:color="auto" w:fill="auto"/>
            <w:vAlign w:val="center"/>
            <w:hideMark/>
          </w:tcPr>
          <w:p w14:paraId="4C5AE8D8" w14:textId="77777777" w:rsidR="00F0487C" w:rsidRPr="00F0487C" w:rsidRDefault="00F0487C" w:rsidP="00F066AD">
            <w:pPr>
              <w:widowControl/>
              <w:autoSpaceDE/>
              <w:autoSpaceDN/>
              <w:jc w:val="center"/>
              <w:rPr>
                <w:color w:val="000000"/>
                <w:lang w:eastAsia="en-MY"/>
              </w:rPr>
            </w:pPr>
            <w:r w:rsidRPr="00F0487C">
              <w:rPr>
                <w:color w:val="000000"/>
                <w:lang w:eastAsia="en-MY"/>
              </w:rPr>
              <w:t>24</w:t>
            </w:r>
          </w:p>
        </w:tc>
        <w:tc>
          <w:tcPr>
            <w:tcW w:w="960" w:type="dxa"/>
            <w:tcBorders>
              <w:top w:val="nil"/>
              <w:left w:val="nil"/>
              <w:right w:val="nil"/>
            </w:tcBorders>
            <w:shd w:val="clear" w:color="auto" w:fill="auto"/>
            <w:vAlign w:val="center"/>
            <w:hideMark/>
          </w:tcPr>
          <w:p w14:paraId="56A37BF6" w14:textId="77777777" w:rsidR="00F0487C" w:rsidRPr="00F0487C" w:rsidRDefault="00F0487C" w:rsidP="00F066AD">
            <w:pPr>
              <w:widowControl/>
              <w:autoSpaceDE/>
              <w:autoSpaceDN/>
              <w:jc w:val="center"/>
              <w:rPr>
                <w:color w:val="000000"/>
                <w:lang w:eastAsia="en-MY"/>
              </w:rPr>
            </w:pPr>
            <w:r w:rsidRPr="00F0487C">
              <w:rPr>
                <w:color w:val="000000"/>
                <w:lang w:eastAsia="en-MY"/>
              </w:rPr>
              <w:t>25</w:t>
            </w:r>
          </w:p>
        </w:tc>
        <w:tc>
          <w:tcPr>
            <w:tcW w:w="960" w:type="dxa"/>
            <w:tcBorders>
              <w:top w:val="nil"/>
              <w:left w:val="nil"/>
              <w:right w:val="nil"/>
            </w:tcBorders>
            <w:shd w:val="clear" w:color="auto" w:fill="auto"/>
            <w:vAlign w:val="center"/>
            <w:hideMark/>
          </w:tcPr>
          <w:p w14:paraId="58D76FDF" w14:textId="77777777" w:rsidR="00F0487C" w:rsidRPr="00F0487C" w:rsidRDefault="00F0487C" w:rsidP="00F066AD">
            <w:pPr>
              <w:widowControl/>
              <w:autoSpaceDE/>
              <w:autoSpaceDN/>
              <w:jc w:val="center"/>
              <w:rPr>
                <w:color w:val="000000"/>
                <w:lang w:eastAsia="en-MY"/>
              </w:rPr>
            </w:pPr>
            <w:r w:rsidRPr="00F0487C">
              <w:rPr>
                <w:color w:val="000000"/>
                <w:lang w:eastAsia="en-MY"/>
              </w:rPr>
              <w:t>92</w:t>
            </w:r>
          </w:p>
        </w:tc>
        <w:tc>
          <w:tcPr>
            <w:tcW w:w="960" w:type="dxa"/>
            <w:tcBorders>
              <w:top w:val="nil"/>
              <w:left w:val="nil"/>
              <w:right w:val="nil"/>
            </w:tcBorders>
            <w:shd w:val="clear" w:color="auto" w:fill="auto"/>
            <w:vAlign w:val="center"/>
            <w:hideMark/>
          </w:tcPr>
          <w:p w14:paraId="5BEBA03E" w14:textId="77777777" w:rsidR="00F0487C" w:rsidRPr="00F0487C" w:rsidRDefault="00F0487C" w:rsidP="00F066AD">
            <w:pPr>
              <w:widowControl/>
              <w:autoSpaceDE/>
              <w:autoSpaceDN/>
              <w:jc w:val="center"/>
              <w:rPr>
                <w:color w:val="000000"/>
                <w:lang w:eastAsia="en-MY"/>
              </w:rPr>
            </w:pPr>
            <w:r w:rsidRPr="00F0487C">
              <w:rPr>
                <w:color w:val="000000"/>
                <w:lang w:eastAsia="en-MY"/>
              </w:rPr>
              <w:t>23</w:t>
            </w:r>
          </w:p>
        </w:tc>
      </w:tr>
      <w:tr w:rsidR="00F0487C" w:rsidRPr="00F0487C" w14:paraId="659AFD39" w14:textId="77777777" w:rsidTr="00F0487C">
        <w:trPr>
          <w:trHeight w:val="288"/>
        </w:trPr>
        <w:tc>
          <w:tcPr>
            <w:tcW w:w="3420" w:type="dxa"/>
            <w:tcBorders>
              <w:top w:val="nil"/>
              <w:left w:val="nil"/>
              <w:bottom w:val="single" w:sz="4" w:space="0" w:color="auto"/>
              <w:right w:val="nil"/>
            </w:tcBorders>
            <w:shd w:val="clear" w:color="auto" w:fill="auto"/>
            <w:vAlign w:val="center"/>
            <w:hideMark/>
          </w:tcPr>
          <w:p w14:paraId="3D5F0CCB" w14:textId="77777777" w:rsidR="00F0487C" w:rsidRPr="00F0487C" w:rsidRDefault="00F0487C" w:rsidP="00F066AD">
            <w:pPr>
              <w:widowControl/>
              <w:autoSpaceDE/>
              <w:autoSpaceDN/>
              <w:jc w:val="both"/>
              <w:rPr>
                <w:color w:val="000000"/>
                <w:lang w:eastAsia="en-MY"/>
              </w:rPr>
            </w:pPr>
            <w:r w:rsidRPr="00F0487C">
              <w:rPr>
                <w:color w:val="000000"/>
                <w:lang w:eastAsia="en-MY"/>
              </w:rPr>
              <w:t>Turnover rate</w:t>
            </w:r>
          </w:p>
        </w:tc>
        <w:tc>
          <w:tcPr>
            <w:tcW w:w="960" w:type="dxa"/>
            <w:tcBorders>
              <w:top w:val="nil"/>
              <w:left w:val="nil"/>
              <w:bottom w:val="single" w:sz="4" w:space="0" w:color="auto"/>
              <w:right w:val="nil"/>
            </w:tcBorders>
            <w:shd w:val="clear" w:color="auto" w:fill="auto"/>
            <w:vAlign w:val="center"/>
            <w:hideMark/>
          </w:tcPr>
          <w:p w14:paraId="027A99A6" w14:textId="77777777" w:rsidR="00F0487C" w:rsidRPr="00F0487C" w:rsidRDefault="00F0487C" w:rsidP="00F066AD">
            <w:pPr>
              <w:widowControl/>
              <w:autoSpaceDE/>
              <w:autoSpaceDN/>
              <w:jc w:val="center"/>
              <w:rPr>
                <w:color w:val="000000"/>
                <w:lang w:eastAsia="en-MY"/>
              </w:rPr>
            </w:pPr>
            <w:r w:rsidRPr="00F0487C">
              <w:rPr>
                <w:color w:val="000000"/>
                <w:lang w:eastAsia="en-MY"/>
              </w:rPr>
              <w:t>61%</w:t>
            </w:r>
          </w:p>
        </w:tc>
        <w:tc>
          <w:tcPr>
            <w:tcW w:w="960" w:type="dxa"/>
            <w:tcBorders>
              <w:top w:val="nil"/>
              <w:left w:val="nil"/>
              <w:bottom w:val="single" w:sz="4" w:space="0" w:color="auto"/>
              <w:right w:val="nil"/>
            </w:tcBorders>
            <w:shd w:val="clear" w:color="auto" w:fill="auto"/>
            <w:vAlign w:val="center"/>
            <w:hideMark/>
          </w:tcPr>
          <w:p w14:paraId="346516E0" w14:textId="77777777" w:rsidR="00F0487C" w:rsidRPr="00F0487C" w:rsidRDefault="00F0487C" w:rsidP="00F066AD">
            <w:pPr>
              <w:widowControl/>
              <w:autoSpaceDE/>
              <w:autoSpaceDN/>
              <w:jc w:val="center"/>
              <w:rPr>
                <w:color w:val="000000"/>
                <w:lang w:eastAsia="en-MY"/>
              </w:rPr>
            </w:pPr>
            <w:r w:rsidRPr="00F0487C">
              <w:rPr>
                <w:color w:val="000000"/>
                <w:lang w:eastAsia="en-MY"/>
              </w:rPr>
              <w:t>51%</w:t>
            </w:r>
          </w:p>
        </w:tc>
        <w:tc>
          <w:tcPr>
            <w:tcW w:w="960" w:type="dxa"/>
            <w:tcBorders>
              <w:top w:val="nil"/>
              <w:left w:val="nil"/>
              <w:bottom w:val="single" w:sz="4" w:space="0" w:color="auto"/>
              <w:right w:val="nil"/>
            </w:tcBorders>
            <w:shd w:val="clear" w:color="auto" w:fill="auto"/>
            <w:vAlign w:val="center"/>
            <w:hideMark/>
          </w:tcPr>
          <w:p w14:paraId="252B513E" w14:textId="77777777" w:rsidR="00F0487C" w:rsidRPr="00F0487C" w:rsidRDefault="00F0487C" w:rsidP="00F066AD">
            <w:pPr>
              <w:widowControl/>
              <w:autoSpaceDE/>
              <w:autoSpaceDN/>
              <w:jc w:val="center"/>
              <w:rPr>
                <w:color w:val="000000"/>
                <w:lang w:eastAsia="en-MY"/>
              </w:rPr>
            </w:pPr>
            <w:r w:rsidRPr="00F0487C">
              <w:rPr>
                <w:color w:val="000000"/>
                <w:lang w:eastAsia="en-MY"/>
              </w:rPr>
              <w:t>61%</w:t>
            </w:r>
          </w:p>
        </w:tc>
        <w:tc>
          <w:tcPr>
            <w:tcW w:w="960" w:type="dxa"/>
            <w:tcBorders>
              <w:top w:val="nil"/>
              <w:left w:val="nil"/>
              <w:bottom w:val="single" w:sz="4" w:space="0" w:color="auto"/>
              <w:right w:val="nil"/>
            </w:tcBorders>
            <w:shd w:val="clear" w:color="auto" w:fill="auto"/>
            <w:vAlign w:val="center"/>
            <w:hideMark/>
          </w:tcPr>
          <w:p w14:paraId="09D8750B" w14:textId="77777777" w:rsidR="00F0487C" w:rsidRPr="00F0487C" w:rsidRDefault="00F0487C" w:rsidP="00F066AD">
            <w:pPr>
              <w:widowControl/>
              <w:autoSpaceDE/>
              <w:autoSpaceDN/>
              <w:jc w:val="center"/>
              <w:rPr>
                <w:color w:val="000000"/>
                <w:lang w:eastAsia="en-MY"/>
              </w:rPr>
            </w:pPr>
            <w:r w:rsidRPr="00F0487C">
              <w:rPr>
                <w:color w:val="000000"/>
                <w:lang w:eastAsia="en-MY"/>
              </w:rPr>
              <w:t>63%</w:t>
            </w:r>
          </w:p>
        </w:tc>
        <w:tc>
          <w:tcPr>
            <w:tcW w:w="960" w:type="dxa"/>
            <w:tcBorders>
              <w:top w:val="nil"/>
              <w:left w:val="nil"/>
              <w:bottom w:val="single" w:sz="4" w:space="0" w:color="auto"/>
              <w:right w:val="nil"/>
            </w:tcBorders>
            <w:shd w:val="clear" w:color="auto" w:fill="auto"/>
            <w:vAlign w:val="center"/>
            <w:hideMark/>
          </w:tcPr>
          <w:p w14:paraId="500EDF57" w14:textId="77777777" w:rsidR="00F0487C" w:rsidRPr="00F0487C" w:rsidRDefault="00F0487C" w:rsidP="00F066AD">
            <w:pPr>
              <w:widowControl/>
              <w:autoSpaceDE/>
              <w:autoSpaceDN/>
              <w:jc w:val="center"/>
              <w:rPr>
                <w:color w:val="000000"/>
                <w:lang w:eastAsia="en-MY"/>
              </w:rPr>
            </w:pPr>
            <w:r w:rsidRPr="00F0487C">
              <w:rPr>
                <w:color w:val="000000"/>
                <w:lang w:eastAsia="en-MY"/>
              </w:rPr>
              <w:t>26%</w:t>
            </w:r>
          </w:p>
        </w:tc>
      </w:tr>
    </w:tbl>
    <w:p w14:paraId="2535021A" w14:textId="77777777" w:rsidR="004A1EF2" w:rsidRPr="00F0487C" w:rsidRDefault="004A1EF2" w:rsidP="00F066AD">
      <w:pPr>
        <w:tabs>
          <w:tab w:val="left" w:pos="1057"/>
        </w:tabs>
        <w:ind w:left="335"/>
        <w:jc w:val="both"/>
        <w:rPr>
          <w:i/>
        </w:rPr>
      </w:pPr>
    </w:p>
    <w:p w14:paraId="771633F7" w14:textId="77777777" w:rsidR="00F0487C" w:rsidRPr="00F0487C" w:rsidRDefault="00F0487C" w:rsidP="00F066AD">
      <w:pPr>
        <w:tabs>
          <w:tab w:val="left" w:pos="1057"/>
        </w:tabs>
        <w:ind w:left="335"/>
        <w:jc w:val="both"/>
        <w:rPr>
          <w:iCs/>
        </w:rPr>
      </w:pPr>
    </w:p>
    <w:p w14:paraId="4528949B" w14:textId="77777777" w:rsidR="004A1EF2" w:rsidRPr="00F0487C" w:rsidRDefault="004A1EF2" w:rsidP="00F066AD">
      <w:pPr>
        <w:tabs>
          <w:tab w:val="left" w:pos="1057"/>
        </w:tabs>
        <w:ind w:left="335"/>
        <w:jc w:val="both"/>
        <w:rPr>
          <w:i/>
        </w:rPr>
      </w:pPr>
    </w:p>
    <w:p w14:paraId="7F20C8AA" w14:textId="77777777" w:rsidR="004A1EF2" w:rsidRPr="00F0487C" w:rsidRDefault="004A1EF2" w:rsidP="00F066AD">
      <w:pPr>
        <w:tabs>
          <w:tab w:val="left" w:pos="1057"/>
        </w:tabs>
        <w:ind w:left="335"/>
        <w:jc w:val="both"/>
        <w:rPr>
          <w:i/>
        </w:rPr>
      </w:pPr>
    </w:p>
    <w:p w14:paraId="6A362FBC" w14:textId="77777777" w:rsidR="004A1EF2" w:rsidRPr="00F0487C" w:rsidRDefault="004A1EF2" w:rsidP="00F066AD">
      <w:pPr>
        <w:tabs>
          <w:tab w:val="left" w:pos="1057"/>
        </w:tabs>
        <w:ind w:left="335"/>
        <w:jc w:val="both"/>
        <w:rPr>
          <w:i/>
        </w:rPr>
      </w:pPr>
    </w:p>
    <w:p w14:paraId="5DE80716" w14:textId="77777777" w:rsidR="00F0487C" w:rsidRPr="00F0487C" w:rsidRDefault="00F0487C" w:rsidP="00F066AD">
      <w:pPr>
        <w:tabs>
          <w:tab w:val="left" w:pos="1057"/>
        </w:tabs>
        <w:ind w:left="335"/>
        <w:jc w:val="both"/>
        <w:rPr>
          <w:i/>
        </w:rPr>
      </w:pPr>
    </w:p>
    <w:p w14:paraId="169030AD" w14:textId="77777777" w:rsidR="00F0487C" w:rsidRPr="00F0487C" w:rsidRDefault="00F0487C" w:rsidP="00F066AD">
      <w:pPr>
        <w:tabs>
          <w:tab w:val="left" w:pos="1057"/>
        </w:tabs>
        <w:ind w:left="335"/>
        <w:jc w:val="both"/>
        <w:rPr>
          <w:i/>
        </w:rPr>
      </w:pPr>
    </w:p>
    <w:p w14:paraId="2E815216" w14:textId="77777777" w:rsidR="00F0487C" w:rsidRPr="00F0487C" w:rsidRDefault="00F0487C" w:rsidP="00F066AD">
      <w:pPr>
        <w:tabs>
          <w:tab w:val="left" w:pos="1057"/>
        </w:tabs>
        <w:ind w:left="335"/>
        <w:jc w:val="both"/>
        <w:rPr>
          <w:i/>
        </w:rPr>
      </w:pPr>
    </w:p>
    <w:p w14:paraId="7C06C4D0" w14:textId="77777777" w:rsidR="00F0487C" w:rsidRPr="00F0487C" w:rsidRDefault="00F0487C" w:rsidP="00F066AD">
      <w:pPr>
        <w:tabs>
          <w:tab w:val="left" w:pos="1057"/>
        </w:tabs>
        <w:ind w:left="335"/>
        <w:jc w:val="both"/>
        <w:rPr>
          <w:i/>
        </w:rPr>
      </w:pPr>
    </w:p>
    <w:p w14:paraId="3CCB2C28" w14:textId="46E7560A" w:rsidR="00584375" w:rsidRPr="00F0487C" w:rsidRDefault="00584375" w:rsidP="00F066AD">
      <w:pPr>
        <w:pStyle w:val="ListParagraph"/>
        <w:numPr>
          <w:ilvl w:val="1"/>
          <w:numId w:val="1"/>
        </w:numPr>
        <w:tabs>
          <w:tab w:val="left" w:pos="1057"/>
        </w:tabs>
        <w:ind w:hanging="721"/>
        <w:jc w:val="both"/>
        <w:rPr>
          <w:i/>
        </w:rPr>
      </w:pPr>
      <w:r w:rsidRPr="00F0487C">
        <w:rPr>
          <w:i/>
        </w:rPr>
        <w:tab/>
        <w:t>Results-and-Discussion-2 (replace with your sub-sub-title of results-and-discussion)</w:t>
      </w:r>
    </w:p>
    <w:p w14:paraId="765F9802" w14:textId="77777777" w:rsidR="006E73A2" w:rsidRPr="00F0487C" w:rsidRDefault="006E73A2" w:rsidP="00F066AD">
      <w:pPr>
        <w:pStyle w:val="BodyText"/>
        <w:jc w:val="both"/>
        <w:rPr>
          <w:i/>
        </w:rPr>
      </w:pPr>
    </w:p>
    <w:p w14:paraId="05CC8428" w14:textId="238D801C" w:rsidR="004A1EF2" w:rsidRPr="00F0487C" w:rsidRDefault="004A1EF2" w:rsidP="00F066AD">
      <w:pPr>
        <w:pStyle w:val="BodyText"/>
        <w:spacing w:before="1"/>
        <w:ind w:left="336" w:right="206"/>
        <w:jc w:val="both"/>
      </w:pPr>
      <w:r w:rsidRPr="00F0487C">
        <w:t>Figures and photographs are to be labelled as Figures.</w:t>
      </w:r>
      <w:r w:rsidR="00F0487C" w:rsidRPr="00F0487C">
        <w:t xml:space="preserve"> </w:t>
      </w:r>
      <w:r w:rsidRPr="00F0487C">
        <w:t xml:space="preserve">All tables should be included in the manuscript at the site where the authors want it to be. The title of the illustrations must be below the illustration. The font size for the title is 10, single- spaced, sentence case, bold and centered. Figure legend must be underneath the title with font size 10, single-spaced, sentence case, and centered. </w:t>
      </w:r>
    </w:p>
    <w:p w14:paraId="4B9044D9" w14:textId="17CD176F" w:rsidR="006E73A2" w:rsidRPr="00F0487C" w:rsidRDefault="004A1EF2" w:rsidP="00F066AD">
      <w:pPr>
        <w:pStyle w:val="BodyText"/>
        <w:spacing w:before="1"/>
        <w:ind w:left="336" w:right="206" w:firstLine="744"/>
        <w:jc w:val="both"/>
      </w:pPr>
      <w:r w:rsidRPr="00F0487C">
        <w:t>Illustrations should be numbered according to their sequence in the text. References should be made in the text preceded the illustration. Line drawings and letterings should be bold enough to allow a reduction of 50% (if necessary) without becoming illegible. The font in the illustrations should be standardi</w:t>
      </w:r>
      <w:r w:rsidR="00F0487C">
        <w:t>s</w:t>
      </w:r>
      <w:r w:rsidRPr="00F0487C">
        <w:t xml:space="preserve">ed. </w:t>
      </w:r>
      <w:r w:rsidRPr="00F0487C">
        <w:tab/>
        <w:t>Figures should be numbered as Figure 1, Figure 2, Figure 3…</w:t>
      </w:r>
    </w:p>
    <w:p w14:paraId="78AE209B" w14:textId="77777777" w:rsidR="006E73A2" w:rsidRPr="00F0487C" w:rsidRDefault="006E73A2" w:rsidP="00F066AD">
      <w:pPr>
        <w:pStyle w:val="BodyText"/>
        <w:spacing w:before="10"/>
        <w:jc w:val="both"/>
        <w:rPr>
          <w:sz w:val="21"/>
        </w:rPr>
      </w:pPr>
    </w:p>
    <w:p w14:paraId="64BB57DF" w14:textId="77777777" w:rsidR="006E73A2" w:rsidRPr="00F0487C" w:rsidRDefault="006E73A2" w:rsidP="00F066AD">
      <w:pPr>
        <w:pStyle w:val="BodyText"/>
        <w:jc w:val="both"/>
        <w:rPr>
          <w:sz w:val="24"/>
        </w:rPr>
      </w:pPr>
    </w:p>
    <w:p w14:paraId="794E1F26" w14:textId="77777777" w:rsidR="006E73A2" w:rsidRPr="00F0487C" w:rsidRDefault="006E73A2" w:rsidP="00F066AD">
      <w:pPr>
        <w:pStyle w:val="BodyText"/>
        <w:jc w:val="both"/>
        <w:rPr>
          <w:sz w:val="20"/>
        </w:rPr>
      </w:pPr>
    </w:p>
    <w:p w14:paraId="450DFF59" w14:textId="77777777" w:rsidR="006E73A2" w:rsidRPr="00F0487C" w:rsidRDefault="006E73A2" w:rsidP="00F066AD">
      <w:pPr>
        <w:pStyle w:val="BodyText"/>
        <w:jc w:val="both"/>
        <w:rPr>
          <w:sz w:val="20"/>
        </w:rPr>
      </w:pPr>
    </w:p>
    <w:p w14:paraId="1F1B7B69" w14:textId="77777777" w:rsidR="006E73A2" w:rsidRPr="00F0487C" w:rsidRDefault="00000000" w:rsidP="00F066AD">
      <w:pPr>
        <w:pStyle w:val="Heading2"/>
        <w:numPr>
          <w:ilvl w:val="0"/>
          <w:numId w:val="1"/>
        </w:numPr>
        <w:tabs>
          <w:tab w:val="left" w:pos="558"/>
        </w:tabs>
        <w:ind w:left="557" w:hanging="222"/>
        <w:jc w:val="both"/>
      </w:pPr>
      <w:r w:rsidRPr="00F0487C">
        <w:lastRenderedPageBreak/>
        <w:t>Conclusion</w:t>
      </w:r>
    </w:p>
    <w:p w14:paraId="7C5A37DE" w14:textId="77777777" w:rsidR="006E73A2" w:rsidRPr="00F0487C" w:rsidRDefault="006E73A2" w:rsidP="00F066AD">
      <w:pPr>
        <w:pStyle w:val="BodyText"/>
        <w:spacing w:before="7"/>
        <w:jc w:val="both"/>
        <w:rPr>
          <w:b/>
          <w:sz w:val="21"/>
        </w:rPr>
      </w:pPr>
    </w:p>
    <w:p w14:paraId="346180E9" w14:textId="364B79EC" w:rsidR="006E73A2" w:rsidRPr="00F0487C" w:rsidRDefault="004A1EF2" w:rsidP="00F066AD">
      <w:pPr>
        <w:pStyle w:val="BodyText"/>
        <w:spacing w:before="81"/>
        <w:ind w:left="336" w:right="206"/>
        <w:jc w:val="both"/>
      </w:pPr>
      <w:r w:rsidRPr="00F0487C">
        <w:t>The Conclusion must be presented in a single paragraph, summari</w:t>
      </w:r>
      <w:r w:rsidR="00F0487C" w:rsidRPr="00F0487C">
        <w:t>s</w:t>
      </w:r>
      <w:r w:rsidRPr="00F0487C">
        <w:t>ing the key findings of the study and their implications. It should emphasi</w:t>
      </w:r>
      <w:r w:rsidR="00F0487C">
        <w:t>s</w:t>
      </w:r>
      <w:r w:rsidRPr="00F0487C">
        <w:t>e the significance of the results in addressing the research objectives and provide a concise statement on their contribution to the field. Avoid introducing new information or citations in this section.</w:t>
      </w:r>
    </w:p>
    <w:p w14:paraId="1B9B34C0" w14:textId="2B80578E" w:rsidR="006E73A2" w:rsidRPr="00F0487C" w:rsidRDefault="00F0487C" w:rsidP="00F066AD">
      <w:pPr>
        <w:pStyle w:val="BodyText"/>
        <w:spacing w:before="5"/>
        <w:jc w:val="both"/>
      </w:pPr>
      <w:r w:rsidRPr="00F0487C">
        <w:t xml:space="preserve"> </w:t>
      </w:r>
    </w:p>
    <w:p w14:paraId="2C4375E1" w14:textId="77777777" w:rsidR="006E73A2" w:rsidRPr="00F0487C" w:rsidRDefault="00000000" w:rsidP="00F066AD">
      <w:pPr>
        <w:pStyle w:val="Heading2"/>
        <w:ind w:firstLine="0"/>
        <w:jc w:val="both"/>
      </w:pPr>
      <w:r w:rsidRPr="00F0487C">
        <w:t>Acknowledgements</w:t>
      </w:r>
    </w:p>
    <w:p w14:paraId="330E0132" w14:textId="77777777" w:rsidR="006E73A2" w:rsidRPr="00F0487C" w:rsidRDefault="006E73A2" w:rsidP="00F066AD">
      <w:pPr>
        <w:pStyle w:val="BodyText"/>
        <w:spacing w:before="7"/>
        <w:jc w:val="both"/>
        <w:rPr>
          <w:b/>
          <w:sz w:val="21"/>
        </w:rPr>
      </w:pPr>
    </w:p>
    <w:p w14:paraId="20347072" w14:textId="6640CC55" w:rsidR="006E73A2" w:rsidRPr="00F0487C" w:rsidRDefault="004A1EF2" w:rsidP="00F066AD">
      <w:pPr>
        <w:pStyle w:val="BodyText"/>
        <w:spacing w:before="4"/>
        <w:ind w:left="360"/>
        <w:jc w:val="both"/>
      </w:pPr>
      <w:r w:rsidRPr="00F0487C">
        <w:t>The Acknowledgments section should be concise while fully recognizing all sources of institutional, private, and corporate financial support for the study. Additionally, any potential conflicts of interest must be clearly disclosed.</w:t>
      </w:r>
    </w:p>
    <w:p w14:paraId="1979A095" w14:textId="77777777" w:rsidR="004A1EF2" w:rsidRPr="00F0487C" w:rsidRDefault="004A1EF2" w:rsidP="00F066AD">
      <w:pPr>
        <w:pStyle w:val="BodyText"/>
        <w:spacing w:before="4"/>
        <w:jc w:val="both"/>
      </w:pPr>
    </w:p>
    <w:p w14:paraId="16CA8974" w14:textId="27EFAD9A" w:rsidR="006E73A2" w:rsidRPr="00F0487C" w:rsidRDefault="00000000" w:rsidP="00F066AD">
      <w:pPr>
        <w:pStyle w:val="Heading2"/>
        <w:ind w:firstLine="0"/>
        <w:jc w:val="both"/>
      </w:pPr>
      <w:r w:rsidRPr="00F0487C">
        <w:t>References</w:t>
      </w:r>
      <w:r w:rsidR="00E4244D">
        <w:t xml:space="preserve"> </w:t>
      </w:r>
      <w:r w:rsidR="00E4244D" w:rsidRPr="00F066AD">
        <w:rPr>
          <w:iCs/>
          <w:color w:val="FF0000"/>
        </w:rPr>
        <w:t>(11pt)</w:t>
      </w:r>
    </w:p>
    <w:p w14:paraId="7307D7EB" w14:textId="77777777" w:rsidR="006E73A2" w:rsidRPr="00F0487C" w:rsidRDefault="006E73A2" w:rsidP="00F066AD">
      <w:pPr>
        <w:pStyle w:val="BodyText"/>
        <w:spacing w:before="7"/>
        <w:jc w:val="both"/>
        <w:rPr>
          <w:b/>
          <w:sz w:val="21"/>
        </w:rPr>
      </w:pPr>
    </w:p>
    <w:p w14:paraId="0EF335BB" w14:textId="46EA026E" w:rsidR="006E73A2" w:rsidRPr="00F0487C" w:rsidRDefault="00000000" w:rsidP="00F066AD">
      <w:pPr>
        <w:ind w:left="1056" w:right="210" w:hanging="720"/>
        <w:jc w:val="both"/>
        <w:rPr>
          <w:sz w:val="20"/>
        </w:rPr>
      </w:pPr>
      <w:r w:rsidRPr="00F0487C">
        <w:rPr>
          <w:sz w:val="20"/>
        </w:rPr>
        <w:t xml:space="preserve">Addis, D., Das, S., Junge, K. and Beller, M. 2011. Selective reduction of carboxylic acid derivatives by catalytic hydrosilylation. </w:t>
      </w:r>
      <w:r w:rsidRPr="00F0487C">
        <w:rPr>
          <w:i/>
          <w:sz w:val="20"/>
        </w:rPr>
        <w:t xml:space="preserve">Angewandte Chemie International Edition </w:t>
      </w:r>
      <w:r w:rsidRPr="00F0487C">
        <w:rPr>
          <w:sz w:val="20"/>
        </w:rPr>
        <w:t>50(27):6004–6011.</w:t>
      </w:r>
      <w:r w:rsidR="00E4244D">
        <w:rPr>
          <w:sz w:val="20"/>
        </w:rPr>
        <w:t xml:space="preserve"> </w:t>
      </w:r>
      <w:r w:rsidR="00E4244D" w:rsidRPr="00E4244D">
        <w:rPr>
          <w:color w:val="FF0000"/>
          <w:sz w:val="20"/>
        </w:rPr>
        <w:t>(1</w:t>
      </w:r>
      <w:r w:rsidR="00E4244D" w:rsidRPr="00E4244D">
        <w:rPr>
          <w:color w:val="FF0000"/>
          <w:sz w:val="20"/>
        </w:rPr>
        <w:t>0</w:t>
      </w:r>
      <w:r w:rsidR="00E4244D" w:rsidRPr="00E4244D">
        <w:rPr>
          <w:color w:val="FF0000"/>
          <w:sz w:val="20"/>
        </w:rPr>
        <w:t>pt)</w:t>
      </w:r>
    </w:p>
    <w:p w14:paraId="2360F504" w14:textId="77777777" w:rsidR="006E73A2" w:rsidRPr="00F0487C" w:rsidRDefault="00000000" w:rsidP="00F066AD">
      <w:pPr>
        <w:spacing w:before="1"/>
        <w:ind w:left="1056" w:right="211" w:hanging="720"/>
        <w:jc w:val="both"/>
        <w:rPr>
          <w:sz w:val="20"/>
        </w:rPr>
      </w:pPr>
      <w:r w:rsidRPr="00F0487C">
        <w:rPr>
          <w:sz w:val="20"/>
        </w:rPr>
        <w:t xml:space="preserve">Akhtar, M. K., Turner, N. J. &amp; Jones, P. R. 2013. Carboxylic acid reductase is a versatile enzyme for the conversion of fatty acids into fuels and chemical commodities. </w:t>
      </w:r>
      <w:r w:rsidRPr="00F0487C">
        <w:rPr>
          <w:i/>
          <w:sz w:val="20"/>
        </w:rPr>
        <w:t xml:space="preserve">Proceedings of the National Academy of Sciences </w:t>
      </w:r>
      <w:r w:rsidRPr="00F0487C">
        <w:rPr>
          <w:sz w:val="20"/>
        </w:rPr>
        <w:t>USA 110(1): 87-92.</w:t>
      </w:r>
    </w:p>
    <w:p w14:paraId="59A46920" w14:textId="77777777" w:rsidR="006E73A2" w:rsidRPr="00F0487C" w:rsidRDefault="00000000" w:rsidP="00F066AD">
      <w:pPr>
        <w:ind w:left="1056" w:right="224" w:hanging="720"/>
        <w:jc w:val="both"/>
        <w:rPr>
          <w:sz w:val="20"/>
        </w:rPr>
      </w:pPr>
      <w:r w:rsidRPr="00F0487C">
        <w:rPr>
          <w:sz w:val="20"/>
        </w:rPr>
        <w:t xml:space="preserve">Bezier, D., Park, S. and Brookhart, M. 2013. Selective reduction of carboxylic acids to aldehydes catalyzed by B(C6F5)3. </w:t>
      </w:r>
      <w:r w:rsidRPr="00F0487C">
        <w:rPr>
          <w:i/>
          <w:sz w:val="20"/>
        </w:rPr>
        <w:t xml:space="preserve">Organic Letters </w:t>
      </w:r>
      <w:r w:rsidRPr="00F0487C">
        <w:rPr>
          <w:sz w:val="20"/>
        </w:rPr>
        <w:t>15(3):496–499.</w:t>
      </w:r>
    </w:p>
    <w:p w14:paraId="1361E631" w14:textId="77777777" w:rsidR="006E73A2" w:rsidRPr="00F0487C" w:rsidRDefault="00000000" w:rsidP="00F066AD">
      <w:pPr>
        <w:ind w:left="336" w:right="211"/>
        <w:jc w:val="both"/>
        <w:rPr>
          <w:sz w:val="20"/>
        </w:rPr>
      </w:pPr>
      <w:r w:rsidRPr="00F0487C">
        <w:rPr>
          <w:sz w:val="20"/>
        </w:rPr>
        <w:t xml:space="preserve">European Commision. 2014. </w:t>
      </w:r>
      <w:r w:rsidRPr="00F0487C">
        <w:rPr>
          <w:i/>
          <w:sz w:val="20"/>
        </w:rPr>
        <w:t>International Bioeconomy Profile</w:t>
      </w:r>
      <w:r w:rsidRPr="00F0487C">
        <w:rPr>
          <w:sz w:val="20"/>
        </w:rPr>
        <w:t>. Brussels: European Commission. Falconnier,</w:t>
      </w:r>
      <w:r w:rsidRPr="00F0487C">
        <w:rPr>
          <w:spacing w:val="14"/>
          <w:sz w:val="20"/>
        </w:rPr>
        <w:t xml:space="preserve"> </w:t>
      </w:r>
      <w:r w:rsidRPr="00F0487C">
        <w:rPr>
          <w:sz w:val="20"/>
        </w:rPr>
        <w:t>B.,</w:t>
      </w:r>
      <w:r w:rsidRPr="00F0487C">
        <w:rPr>
          <w:spacing w:val="14"/>
          <w:sz w:val="20"/>
        </w:rPr>
        <w:t xml:space="preserve"> </w:t>
      </w:r>
      <w:r w:rsidRPr="00F0487C">
        <w:rPr>
          <w:sz w:val="20"/>
        </w:rPr>
        <w:t>Lapierre,</w:t>
      </w:r>
      <w:r w:rsidRPr="00F0487C">
        <w:rPr>
          <w:spacing w:val="15"/>
          <w:sz w:val="20"/>
        </w:rPr>
        <w:t xml:space="preserve"> </w:t>
      </w:r>
      <w:r w:rsidRPr="00F0487C">
        <w:rPr>
          <w:sz w:val="20"/>
        </w:rPr>
        <w:t>C.,</w:t>
      </w:r>
      <w:r w:rsidRPr="00F0487C">
        <w:rPr>
          <w:spacing w:val="11"/>
          <w:sz w:val="20"/>
        </w:rPr>
        <w:t xml:space="preserve"> </w:t>
      </w:r>
      <w:r w:rsidRPr="00F0487C">
        <w:rPr>
          <w:sz w:val="20"/>
        </w:rPr>
        <w:t>Lesage-Meessen,</w:t>
      </w:r>
      <w:r w:rsidRPr="00F0487C">
        <w:rPr>
          <w:spacing w:val="17"/>
          <w:sz w:val="20"/>
        </w:rPr>
        <w:t xml:space="preserve"> </w:t>
      </w:r>
      <w:r w:rsidRPr="00F0487C">
        <w:rPr>
          <w:sz w:val="20"/>
        </w:rPr>
        <w:t>L.,</w:t>
      </w:r>
      <w:r w:rsidRPr="00F0487C">
        <w:rPr>
          <w:spacing w:val="14"/>
          <w:sz w:val="20"/>
        </w:rPr>
        <w:t xml:space="preserve"> </w:t>
      </w:r>
      <w:r w:rsidRPr="00F0487C">
        <w:rPr>
          <w:sz w:val="20"/>
        </w:rPr>
        <w:t>Yonnet,</w:t>
      </w:r>
      <w:r w:rsidRPr="00F0487C">
        <w:rPr>
          <w:spacing w:val="15"/>
          <w:sz w:val="20"/>
        </w:rPr>
        <w:t xml:space="preserve"> </w:t>
      </w:r>
      <w:r w:rsidRPr="00F0487C">
        <w:rPr>
          <w:sz w:val="20"/>
        </w:rPr>
        <w:t>G.,</w:t>
      </w:r>
      <w:r w:rsidRPr="00F0487C">
        <w:rPr>
          <w:spacing w:val="14"/>
          <w:sz w:val="20"/>
        </w:rPr>
        <w:t xml:space="preserve"> </w:t>
      </w:r>
      <w:r w:rsidRPr="00F0487C">
        <w:rPr>
          <w:sz w:val="20"/>
        </w:rPr>
        <w:t>Brunerie,</w:t>
      </w:r>
      <w:r w:rsidRPr="00F0487C">
        <w:rPr>
          <w:spacing w:val="15"/>
          <w:sz w:val="20"/>
        </w:rPr>
        <w:t xml:space="preserve"> </w:t>
      </w:r>
      <w:r w:rsidRPr="00F0487C">
        <w:rPr>
          <w:sz w:val="20"/>
        </w:rPr>
        <w:t>P.,</w:t>
      </w:r>
      <w:r w:rsidRPr="00F0487C">
        <w:rPr>
          <w:spacing w:val="14"/>
          <w:sz w:val="20"/>
        </w:rPr>
        <w:t xml:space="preserve"> </w:t>
      </w:r>
      <w:r w:rsidRPr="00F0487C">
        <w:rPr>
          <w:sz w:val="20"/>
        </w:rPr>
        <w:t>Colonna-Ceccaldi,</w:t>
      </w:r>
      <w:r w:rsidRPr="00F0487C">
        <w:rPr>
          <w:spacing w:val="14"/>
          <w:sz w:val="20"/>
        </w:rPr>
        <w:t xml:space="preserve"> </w:t>
      </w:r>
      <w:r w:rsidRPr="00F0487C">
        <w:rPr>
          <w:sz w:val="20"/>
        </w:rPr>
        <w:t>B.,</w:t>
      </w:r>
      <w:r w:rsidRPr="00F0487C">
        <w:rPr>
          <w:spacing w:val="15"/>
          <w:sz w:val="20"/>
        </w:rPr>
        <w:t xml:space="preserve"> </w:t>
      </w:r>
      <w:r w:rsidRPr="00F0487C">
        <w:rPr>
          <w:sz w:val="20"/>
        </w:rPr>
        <w:t>Corrieu,</w:t>
      </w:r>
    </w:p>
    <w:p w14:paraId="2DC8990E" w14:textId="77777777" w:rsidR="006E73A2" w:rsidRPr="00F0487C" w:rsidRDefault="00000000" w:rsidP="00F066AD">
      <w:pPr>
        <w:ind w:left="1056" w:right="208"/>
        <w:jc w:val="both"/>
        <w:rPr>
          <w:sz w:val="20"/>
        </w:rPr>
      </w:pPr>
      <w:r w:rsidRPr="00F0487C">
        <w:rPr>
          <w:sz w:val="20"/>
        </w:rPr>
        <w:t xml:space="preserve">G. and Asther, M. 1994. Vanillin as a product of ferulic acid biotransformation by the white-rot fungus Pycnoporus cinnabarinus I-937: Identification of metabolic pathways. </w:t>
      </w:r>
      <w:r w:rsidRPr="00F0487C">
        <w:rPr>
          <w:i/>
          <w:sz w:val="20"/>
        </w:rPr>
        <w:t xml:space="preserve">Journal of Biotechnology </w:t>
      </w:r>
      <w:r w:rsidRPr="00F0487C">
        <w:rPr>
          <w:sz w:val="20"/>
        </w:rPr>
        <w:t>37(2): 123–132.</w:t>
      </w:r>
    </w:p>
    <w:p w14:paraId="03A46ADB" w14:textId="77777777" w:rsidR="006E73A2" w:rsidRPr="00F0487C" w:rsidRDefault="00000000" w:rsidP="00F066AD">
      <w:pPr>
        <w:ind w:left="1056" w:right="207" w:hanging="720"/>
        <w:jc w:val="both"/>
        <w:rPr>
          <w:sz w:val="20"/>
        </w:rPr>
      </w:pPr>
      <w:r w:rsidRPr="00F0487C">
        <w:rPr>
          <w:sz w:val="20"/>
        </w:rPr>
        <w:t xml:space="preserve">Li, C., Matsuda, Y., Gao, H., Hu, D., Yao X. S. and Abe, I. 2016. Biosynthesis of LL-Z1272b: Discovery of a New Member of NRPS-like Enzymes for Aryl-Aldehyde Formation. </w:t>
      </w:r>
      <w:r w:rsidRPr="00F0487C">
        <w:rPr>
          <w:i/>
          <w:sz w:val="20"/>
        </w:rPr>
        <w:t>Chembiochem Communicatons</w:t>
      </w:r>
      <w:r w:rsidRPr="00F0487C">
        <w:rPr>
          <w:i/>
          <w:spacing w:val="-1"/>
          <w:sz w:val="20"/>
        </w:rPr>
        <w:t xml:space="preserve"> </w:t>
      </w:r>
      <w:r w:rsidRPr="00F0487C">
        <w:rPr>
          <w:sz w:val="20"/>
        </w:rPr>
        <w:t>17(10):904–907</w:t>
      </w:r>
    </w:p>
    <w:p w14:paraId="55A412F2" w14:textId="77777777" w:rsidR="006E73A2" w:rsidRPr="00F0487C" w:rsidRDefault="00000000" w:rsidP="00F066AD">
      <w:pPr>
        <w:ind w:left="1056" w:right="210" w:hanging="720"/>
        <w:jc w:val="both"/>
        <w:rPr>
          <w:sz w:val="20"/>
        </w:rPr>
      </w:pPr>
      <w:r w:rsidRPr="00F0487C">
        <w:rPr>
          <w:sz w:val="20"/>
        </w:rPr>
        <w:t xml:space="preserve">OECD. 2001. </w:t>
      </w:r>
      <w:r w:rsidRPr="00F0487C">
        <w:rPr>
          <w:i/>
          <w:sz w:val="20"/>
        </w:rPr>
        <w:t>The Application of Biotechnology to Industrial Sustainability – a Primer</w:t>
      </w:r>
      <w:r w:rsidRPr="00F0487C">
        <w:rPr>
          <w:sz w:val="20"/>
        </w:rPr>
        <w:t>. Paris: Organization for Economic Co-operation and Development.</w:t>
      </w:r>
    </w:p>
    <w:p w14:paraId="1277C162" w14:textId="77777777" w:rsidR="006E73A2" w:rsidRPr="00F0487C" w:rsidRDefault="00000000" w:rsidP="00F066AD">
      <w:pPr>
        <w:ind w:left="1056" w:right="211" w:hanging="720"/>
        <w:jc w:val="both"/>
        <w:rPr>
          <w:sz w:val="20"/>
        </w:rPr>
      </w:pPr>
      <w:r w:rsidRPr="00F0487C">
        <w:rPr>
          <w:sz w:val="20"/>
        </w:rPr>
        <w:t xml:space="preserve">Schwendenwein, D., Fiume, G., Weber, H., Rudroff, F. and Winkler, M. 2016. Selective enzymatic transformation to aldehydes in vivo by fungal carboxylate reductase from Neurospora crassa. </w:t>
      </w:r>
      <w:r w:rsidRPr="00F0487C">
        <w:rPr>
          <w:i/>
          <w:sz w:val="20"/>
        </w:rPr>
        <w:t xml:space="preserve">Advanced Synthesis and Catalysis </w:t>
      </w:r>
      <w:r w:rsidRPr="00F0487C">
        <w:rPr>
          <w:sz w:val="20"/>
        </w:rPr>
        <w:t>358(21): 3414 - 3421.</w:t>
      </w:r>
    </w:p>
    <w:p w14:paraId="17427C8F" w14:textId="77777777" w:rsidR="006E73A2" w:rsidRPr="00F0487C" w:rsidRDefault="00000000" w:rsidP="00F066AD">
      <w:pPr>
        <w:ind w:left="1056" w:right="207" w:hanging="720"/>
        <w:jc w:val="both"/>
        <w:rPr>
          <w:sz w:val="20"/>
        </w:rPr>
      </w:pPr>
      <w:r w:rsidRPr="00F0487C">
        <w:rPr>
          <w:sz w:val="20"/>
        </w:rPr>
        <w:t xml:space="preserve">Stolterfoht, H., Steinkellner, G., Schwendenwein, D., Pavkov-Keller, T., Gruber, K. &amp; Winkler, M. 2018. Identification of Key Residues for Enzymatic Carboxylate Reduction. </w:t>
      </w:r>
      <w:r w:rsidRPr="00F0487C">
        <w:rPr>
          <w:i/>
          <w:sz w:val="20"/>
        </w:rPr>
        <w:t xml:space="preserve">Frontiers in Microbiology </w:t>
      </w:r>
      <w:r w:rsidRPr="00F0487C">
        <w:rPr>
          <w:sz w:val="20"/>
        </w:rPr>
        <w:t>9(250).</w:t>
      </w:r>
    </w:p>
    <w:p w14:paraId="6CB13703" w14:textId="77777777" w:rsidR="006E73A2" w:rsidRPr="00F0487C" w:rsidRDefault="00000000" w:rsidP="00F066AD">
      <w:pPr>
        <w:ind w:left="1056" w:right="209" w:hanging="720"/>
        <w:jc w:val="both"/>
        <w:rPr>
          <w:sz w:val="20"/>
        </w:rPr>
      </w:pPr>
      <w:r w:rsidRPr="00F0487C">
        <w:rPr>
          <w:sz w:val="20"/>
        </w:rPr>
        <w:t xml:space="preserve">Studier, F. W. 2005. Protein production by auto-induction in high-density shaking cultures. </w:t>
      </w:r>
      <w:r w:rsidRPr="00F0487C">
        <w:rPr>
          <w:i/>
          <w:sz w:val="20"/>
        </w:rPr>
        <w:t xml:space="preserve">Protein Expression and Purification </w:t>
      </w:r>
      <w:r w:rsidRPr="00F0487C">
        <w:rPr>
          <w:sz w:val="20"/>
        </w:rPr>
        <w:t>41(1): 207-234.</w:t>
      </w:r>
    </w:p>
    <w:p w14:paraId="65986FB7" w14:textId="77777777" w:rsidR="006E73A2" w:rsidRPr="00F0487C" w:rsidRDefault="00000000" w:rsidP="00F066AD">
      <w:pPr>
        <w:ind w:left="1056" w:right="221" w:hanging="720"/>
        <w:jc w:val="both"/>
        <w:rPr>
          <w:sz w:val="20"/>
        </w:rPr>
      </w:pPr>
      <w:r w:rsidRPr="00F0487C">
        <w:rPr>
          <w:sz w:val="20"/>
        </w:rPr>
        <w:t xml:space="preserve">Qu, G., Guo, J., Yang, D. and Sun, Z. 2018. Biocatalysis of carboxylic acid reductases: phylogenesis, catalytic mechanism and potential applications. </w:t>
      </w:r>
      <w:r w:rsidRPr="00F0487C">
        <w:rPr>
          <w:i/>
          <w:sz w:val="20"/>
        </w:rPr>
        <w:t xml:space="preserve">Green Chemistry </w:t>
      </w:r>
      <w:r w:rsidRPr="00F0487C">
        <w:rPr>
          <w:sz w:val="20"/>
        </w:rPr>
        <w:t>(Advance Article/In Press).</w:t>
      </w:r>
    </w:p>
    <w:p w14:paraId="2402A29D" w14:textId="77777777" w:rsidR="006E73A2" w:rsidRPr="00F0487C" w:rsidRDefault="00000000" w:rsidP="00F066AD">
      <w:pPr>
        <w:ind w:left="1056" w:right="214" w:hanging="720"/>
        <w:jc w:val="both"/>
        <w:rPr>
          <w:sz w:val="20"/>
        </w:rPr>
      </w:pPr>
      <w:r w:rsidRPr="00F0487C">
        <w:rPr>
          <w:sz w:val="20"/>
        </w:rPr>
        <w:t>Wang, M., Beissner, M. and Zhao, H. 2014. Aryl-aldehyde formation in fungal polyketides: discovery and characterization of a distinct biosynthetic mechanism. Chemistry and Biology 21(2):257–263.</w:t>
      </w:r>
    </w:p>
    <w:p w14:paraId="1425206D" w14:textId="77777777" w:rsidR="006E73A2" w:rsidRPr="00F0487C" w:rsidRDefault="00000000" w:rsidP="00F066AD">
      <w:pPr>
        <w:ind w:left="336"/>
        <w:jc w:val="both"/>
        <w:rPr>
          <w:i/>
          <w:sz w:val="20"/>
        </w:rPr>
      </w:pPr>
      <w:r w:rsidRPr="00F0487C">
        <w:rPr>
          <w:sz w:val="20"/>
        </w:rPr>
        <w:t xml:space="preserve">Winkler, M. 2018. Carboxylic acid reductase enzymes (CARs). </w:t>
      </w:r>
      <w:r w:rsidRPr="00F0487C">
        <w:rPr>
          <w:i/>
          <w:sz w:val="20"/>
        </w:rPr>
        <w:t>Current Opinion in Chemical Biology</w:t>
      </w:r>
    </w:p>
    <w:p w14:paraId="6F59C2B2" w14:textId="77777777" w:rsidR="006E73A2" w:rsidRPr="00F0487C" w:rsidRDefault="00000000" w:rsidP="00F066AD">
      <w:pPr>
        <w:ind w:left="1056"/>
        <w:jc w:val="both"/>
        <w:rPr>
          <w:sz w:val="20"/>
        </w:rPr>
      </w:pPr>
      <w:r w:rsidRPr="00F0487C">
        <w:rPr>
          <w:sz w:val="20"/>
        </w:rPr>
        <w:t>43:23–29.</w:t>
      </w:r>
    </w:p>
    <w:p w14:paraId="618F2358" w14:textId="77777777" w:rsidR="006E73A2" w:rsidRPr="00F0487C" w:rsidRDefault="00000000" w:rsidP="00F066AD">
      <w:pPr>
        <w:spacing w:before="1"/>
        <w:ind w:left="1056" w:right="287" w:hanging="720"/>
        <w:jc w:val="both"/>
        <w:rPr>
          <w:sz w:val="20"/>
        </w:rPr>
      </w:pPr>
      <w:r w:rsidRPr="00F0487C">
        <w:rPr>
          <w:sz w:val="20"/>
        </w:rPr>
        <w:t xml:space="preserve">Winkler, M. and Winkler, C. K. 2014. Trametes versicolor carboxylate reductase uncovered. </w:t>
      </w:r>
      <w:r w:rsidRPr="00F0487C">
        <w:rPr>
          <w:i/>
          <w:sz w:val="20"/>
        </w:rPr>
        <w:t>Monatshefte  für Chemie</w:t>
      </w:r>
      <w:r w:rsidRPr="00F0487C">
        <w:rPr>
          <w:i/>
          <w:spacing w:val="-1"/>
          <w:sz w:val="20"/>
        </w:rPr>
        <w:t xml:space="preserve"> </w:t>
      </w:r>
      <w:r w:rsidRPr="00F0487C">
        <w:rPr>
          <w:sz w:val="20"/>
        </w:rPr>
        <w:t>147:575–578.</w:t>
      </w:r>
    </w:p>
    <w:sectPr w:rsidR="006E73A2" w:rsidRPr="00F0487C">
      <w:pgSz w:w="11910" w:h="16840"/>
      <w:pgMar w:top="1340" w:right="940" w:bottom="800" w:left="1680" w:header="852" w:footer="6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95605" w14:textId="77777777" w:rsidR="00266503" w:rsidRDefault="00266503">
      <w:r>
        <w:separator/>
      </w:r>
    </w:p>
  </w:endnote>
  <w:endnote w:type="continuationSeparator" w:id="0">
    <w:p w14:paraId="50977900" w14:textId="77777777" w:rsidR="00266503" w:rsidRDefault="0026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DEF0" w14:textId="77777777" w:rsidR="006E73A2" w:rsidRDefault="00000000">
    <w:pPr>
      <w:pStyle w:val="BodyText"/>
      <w:spacing w:line="14" w:lineRule="auto"/>
      <w:rPr>
        <w:sz w:val="20"/>
      </w:rPr>
    </w:pPr>
    <w:r>
      <w:rPr>
        <w:noProof w:val="0"/>
      </w:rPr>
      <w:pict w14:anchorId="073A481B">
        <v:shapetype id="_x0000_t202" coordsize="21600,21600" o:spt="202" path="m,l,21600r21600,l21600,xe">
          <v:stroke joinstyle="miter"/>
          <v:path gradientshapeok="t" o:connecttype="rect"/>
        </v:shapetype>
        <v:shape id="_x0000_s1025" type="#_x0000_t202" style="position:absolute;margin-left:529.3pt;margin-top:800.35pt;width:11.55pt;height:14.25pt;z-index:-252060672;mso-position-horizontal-relative:page;mso-position-vertical-relative:page" filled="f" stroked="f">
          <v:textbox style="mso-next-textbox:#_x0000_s1025" inset="0,0,0,0">
            <w:txbxContent>
              <w:p w14:paraId="6B6F58BE" w14:textId="77777777" w:rsidR="006E73A2" w:rsidRDefault="00000000">
                <w:pPr>
                  <w:pStyle w:val="BodyText"/>
                  <w:spacing w:before="11"/>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07A27" w14:textId="77777777" w:rsidR="00266503" w:rsidRDefault="00266503">
      <w:r>
        <w:separator/>
      </w:r>
    </w:p>
  </w:footnote>
  <w:footnote w:type="continuationSeparator" w:id="0">
    <w:p w14:paraId="4DFE1B4E" w14:textId="77777777" w:rsidR="00266503" w:rsidRDefault="00266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9BD9" w14:textId="77777777" w:rsidR="006E73A2" w:rsidRDefault="00000000">
    <w:pPr>
      <w:pStyle w:val="BodyText"/>
      <w:spacing w:line="14" w:lineRule="auto"/>
      <w:rPr>
        <w:sz w:val="20"/>
      </w:rPr>
    </w:pPr>
    <w:r>
      <w:rPr>
        <w:noProof w:val="0"/>
      </w:rPr>
      <w:pict w14:anchorId="19DE7BA6">
        <v:shapetype id="_x0000_t202" coordsize="21600,21600" o:spt="202" path="m,l,21600r21600,l21600,xe">
          <v:stroke joinstyle="miter"/>
          <v:path gradientshapeok="t" o:connecttype="rect"/>
        </v:shapetype>
        <v:shape id="_x0000_s1026" type="#_x0000_t202" style="position:absolute;margin-left:99.8pt;margin-top:41.6pt;width:288.8pt;height:13.05pt;z-index:-252061696;mso-position-horizontal-relative:page;mso-position-vertical-relative:page" filled="f" stroked="f">
          <v:textbox style="mso-next-textbox:#_x0000_s1026" inset="0,0,0,0">
            <w:txbxContent>
              <w:p w14:paraId="4B5F072D" w14:textId="61D53E13" w:rsidR="006E73A2" w:rsidRDefault="00000000">
                <w:pPr>
                  <w:spacing w:before="10"/>
                  <w:ind w:left="20"/>
                  <w:rPr>
                    <w:i/>
                    <w:sz w:val="20"/>
                  </w:rPr>
                </w:pPr>
                <w:r>
                  <w:rPr>
                    <w:i/>
                    <w:sz w:val="20"/>
                  </w:rPr>
                  <w:t xml:space="preserve">Undergrad. Res. J. </w:t>
                </w:r>
                <w:r w:rsidR="007A6E9E">
                  <w:rPr>
                    <w:i/>
                    <w:sz w:val="20"/>
                  </w:rPr>
                  <w:t>Biol</w:t>
                </w:r>
                <w:r>
                  <w:rPr>
                    <w:i/>
                    <w:sz w:val="20"/>
                  </w:rPr>
                  <w:t>.</w:t>
                </w:r>
                <w:r w:rsidR="00914BE0">
                  <w:rPr>
                    <w:i/>
                    <w:sz w:val="20"/>
                  </w:rPr>
                  <w:t xml:space="preserve"> Sci. Biotechnol.,</w:t>
                </w:r>
                <w:r>
                  <w:rPr>
                    <w:i/>
                    <w:sz w:val="20"/>
                  </w:rPr>
                  <w:t xml:space="preserve"> 1, 20</w:t>
                </w:r>
                <w:r w:rsidR="007A6E9E">
                  <w:rPr>
                    <w:i/>
                    <w:sz w:val="20"/>
                  </w:rPr>
                  <w:t>25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D2F1D"/>
    <w:multiLevelType w:val="multilevel"/>
    <w:tmpl w:val="4DD44AE8"/>
    <w:lvl w:ilvl="0">
      <w:start w:val="1"/>
      <w:numFmt w:val="decimal"/>
      <w:lvlText w:val="%1."/>
      <w:lvlJc w:val="left"/>
      <w:pPr>
        <w:ind w:left="576" w:hanging="240"/>
      </w:pPr>
      <w:rPr>
        <w:rFonts w:hint="default"/>
        <w:b/>
        <w:bCs/>
        <w:spacing w:val="-3"/>
        <w:w w:val="100"/>
      </w:rPr>
    </w:lvl>
    <w:lvl w:ilvl="1">
      <w:start w:val="1"/>
      <w:numFmt w:val="decimal"/>
      <w:lvlText w:val="%1.%2"/>
      <w:lvlJc w:val="left"/>
      <w:pPr>
        <w:ind w:left="1056" w:hanging="720"/>
      </w:pPr>
      <w:rPr>
        <w:rFonts w:ascii="Times New Roman" w:eastAsia="Times New Roman" w:hAnsi="Times New Roman" w:cs="Times New Roman" w:hint="default"/>
        <w:i/>
        <w:w w:val="100"/>
        <w:sz w:val="22"/>
        <w:szCs w:val="22"/>
      </w:rPr>
    </w:lvl>
    <w:lvl w:ilvl="2">
      <w:start w:val="1"/>
      <w:numFmt w:val="decimal"/>
      <w:lvlText w:val="%1.%2.%3"/>
      <w:lvlJc w:val="left"/>
      <w:pPr>
        <w:ind w:left="1056" w:hanging="720"/>
      </w:pPr>
      <w:rPr>
        <w:rFonts w:ascii="Times New Roman" w:eastAsia="Times New Roman" w:hAnsi="Times New Roman" w:cs="Times New Roman" w:hint="default"/>
        <w:i/>
        <w:w w:val="100"/>
        <w:sz w:val="22"/>
        <w:szCs w:val="22"/>
      </w:rPr>
    </w:lvl>
    <w:lvl w:ilvl="3">
      <w:numFmt w:val="bullet"/>
      <w:lvlText w:val="•"/>
      <w:lvlJc w:val="left"/>
      <w:pPr>
        <w:ind w:left="2888" w:hanging="720"/>
      </w:pPr>
      <w:rPr>
        <w:rFonts w:hint="default"/>
      </w:rPr>
    </w:lvl>
    <w:lvl w:ilvl="4">
      <w:numFmt w:val="bullet"/>
      <w:lvlText w:val="•"/>
      <w:lvlJc w:val="left"/>
      <w:pPr>
        <w:ind w:left="3802" w:hanging="720"/>
      </w:pPr>
      <w:rPr>
        <w:rFonts w:hint="default"/>
      </w:rPr>
    </w:lvl>
    <w:lvl w:ilvl="5">
      <w:numFmt w:val="bullet"/>
      <w:lvlText w:val="•"/>
      <w:lvlJc w:val="left"/>
      <w:pPr>
        <w:ind w:left="4716" w:hanging="720"/>
      </w:pPr>
      <w:rPr>
        <w:rFonts w:hint="default"/>
      </w:rPr>
    </w:lvl>
    <w:lvl w:ilvl="6">
      <w:numFmt w:val="bullet"/>
      <w:lvlText w:val="•"/>
      <w:lvlJc w:val="left"/>
      <w:pPr>
        <w:ind w:left="5630" w:hanging="720"/>
      </w:pPr>
      <w:rPr>
        <w:rFonts w:hint="default"/>
      </w:rPr>
    </w:lvl>
    <w:lvl w:ilvl="7">
      <w:numFmt w:val="bullet"/>
      <w:lvlText w:val="•"/>
      <w:lvlJc w:val="left"/>
      <w:pPr>
        <w:ind w:left="6544" w:hanging="720"/>
      </w:pPr>
      <w:rPr>
        <w:rFonts w:hint="default"/>
      </w:rPr>
    </w:lvl>
    <w:lvl w:ilvl="8">
      <w:numFmt w:val="bullet"/>
      <w:lvlText w:val="•"/>
      <w:lvlJc w:val="left"/>
      <w:pPr>
        <w:ind w:left="7458" w:hanging="720"/>
      </w:pPr>
      <w:rPr>
        <w:rFonts w:hint="default"/>
      </w:rPr>
    </w:lvl>
  </w:abstractNum>
  <w:num w:numId="1" w16cid:durableId="91601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E73A2"/>
    <w:rsid w:val="0000387B"/>
    <w:rsid w:val="001076C3"/>
    <w:rsid w:val="00266503"/>
    <w:rsid w:val="00284748"/>
    <w:rsid w:val="004A1EF2"/>
    <w:rsid w:val="004C3D8A"/>
    <w:rsid w:val="00584375"/>
    <w:rsid w:val="006E73A2"/>
    <w:rsid w:val="00792253"/>
    <w:rsid w:val="007A6E9E"/>
    <w:rsid w:val="00914BE0"/>
    <w:rsid w:val="00AC3512"/>
    <w:rsid w:val="00B6492A"/>
    <w:rsid w:val="00B95947"/>
    <w:rsid w:val="00D22F1A"/>
    <w:rsid w:val="00D942BA"/>
    <w:rsid w:val="00E4244D"/>
    <w:rsid w:val="00E50147"/>
    <w:rsid w:val="00F0487C"/>
    <w:rsid w:val="00F066AD"/>
    <w:rsid w:val="00F31A90"/>
    <w:rsid w:val="00FC286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0D30A033"/>
  <w15:docId w15:val="{BC0EFC95-A13A-4D8B-8575-50702A46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noProof/>
      <w:lang w:val="en-GB"/>
    </w:rPr>
  </w:style>
  <w:style w:type="paragraph" w:styleId="Heading1">
    <w:name w:val="heading 1"/>
    <w:basedOn w:val="Normal"/>
    <w:uiPriority w:val="9"/>
    <w:qFormat/>
    <w:pPr>
      <w:ind w:left="319"/>
      <w:outlineLvl w:val="0"/>
    </w:pPr>
    <w:rPr>
      <w:b/>
      <w:bCs/>
      <w:sz w:val="24"/>
      <w:szCs w:val="24"/>
    </w:rPr>
  </w:style>
  <w:style w:type="paragraph" w:styleId="Heading2">
    <w:name w:val="heading 2"/>
    <w:basedOn w:val="Normal"/>
    <w:uiPriority w:val="9"/>
    <w:unhideWhenUsed/>
    <w:qFormat/>
    <w:pPr>
      <w:ind w:left="336" w:hanging="222"/>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56" w:hanging="721"/>
    </w:pPr>
  </w:style>
  <w:style w:type="paragraph" w:customStyle="1" w:styleId="TableParagraph">
    <w:name w:val="Table Paragraph"/>
    <w:basedOn w:val="Normal"/>
    <w:uiPriority w:val="1"/>
    <w:qFormat/>
    <w:pPr>
      <w:spacing w:line="210" w:lineRule="exact"/>
      <w:ind w:left="115"/>
    </w:pPr>
  </w:style>
  <w:style w:type="character" w:styleId="Hyperlink">
    <w:name w:val="Hyperlink"/>
    <w:basedOn w:val="DefaultParagraphFont"/>
    <w:uiPriority w:val="99"/>
    <w:unhideWhenUsed/>
    <w:rsid w:val="00284748"/>
    <w:rPr>
      <w:color w:val="0000FF" w:themeColor="hyperlink"/>
      <w:u w:val="single"/>
    </w:rPr>
  </w:style>
  <w:style w:type="character" w:styleId="UnresolvedMention">
    <w:name w:val="Unresolved Mention"/>
    <w:basedOn w:val="DefaultParagraphFont"/>
    <w:uiPriority w:val="99"/>
    <w:semiHidden/>
    <w:unhideWhenUsed/>
    <w:rsid w:val="00284748"/>
    <w:rPr>
      <w:color w:val="605E5C"/>
      <w:shd w:val="clear" w:color="auto" w:fill="E1DFDD"/>
    </w:rPr>
  </w:style>
  <w:style w:type="paragraph" w:styleId="Header">
    <w:name w:val="header"/>
    <w:basedOn w:val="Normal"/>
    <w:link w:val="HeaderChar"/>
    <w:uiPriority w:val="99"/>
    <w:unhideWhenUsed/>
    <w:rsid w:val="007A6E9E"/>
    <w:pPr>
      <w:tabs>
        <w:tab w:val="center" w:pos="4513"/>
        <w:tab w:val="right" w:pos="9026"/>
      </w:tabs>
    </w:pPr>
  </w:style>
  <w:style w:type="character" w:customStyle="1" w:styleId="HeaderChar">
    <w:name w:val="Header Char"/>
    <w:basedOn w:val="DefaultParagraphFont"/>
    <w:link w:val="Header"/>
    <w:uiPriority w:val="99"/>
    <w:rsid w:val="007A6E9E"/>
    <w:rPr>
      <w:rFonts w:ascii="Times New Roman" w:eastAsia="Times New Roman" w:hAnsi="Times New Roman" w:cs="Times New Roman"/>
    </w:rPr>
  </w:style>
  <w:style w:type="paragraph" w:styleId="Footer">
    <w:name w:val="footer"/>
    <w:basedOn w:val="Normal"/>
    <w:link w:val="FooterChar"/>
    <w:uiPriority w:val="99"/>
    <w:unhideWhenUsed/>
    <w:rsid w:val="007A6E9E"/>
    <w:pPr>
      <w:tabs>
        <w:tab w:val="center" w:pos="4513"/>
        <w:tab w:val="right" w:pos="9026"/>
      </w:tabs>
    </w:pPr>
  </w:style>
  <w:style w:type="character" w:customStyle="1" w:styleId="FooterChar">
    <w:name w:val="Footer Char"/>
    <w:basedOn w:val="DefaultParagraphFont"/>
    <w:link w:val="Footer"/>
    <w:uiPriority w:val="99"/>
    <w:rsid w:val="007A6E9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063045">
      <w:bodyDiv w:val="1"/>
      <w:marLeft w:val="0"/>
      <w:marRight w:val="0"/>
      <w:marTop w:val="0"/>
      <w:marBottom w:val="0"/>
      <w:divBdr>
        <w:top w:val="none" w:sz="0" w:space="0" w:color="auto"/>
        <w:left w:val="none" w:sz="0" w:space="0" w:color="auto"/>
        <w:bottom w:val="none" w:sz="0" w:space="0" w:color="auto"/>
        <w:right w:val="none" w:sz="0" w:space="0" w:color="auto"/>
      </w:divBdr>
    </w:div>
    <w:div w:id="1070810827">
      <w:bodyDiv w:val="1"/>
      <w:marLeft w:val="0"/>
      <w:marRight w:val="0"/>
      <w:marTop w:val="0"/>
      <w:marBottom w:val="0"/>
      <w:divBdr>
        <w:top w:val="none" w:sz="0" w:space="0" w:color="auto"/>
        <w:left w:val="none" w:sz="0" w:space="0" w:color="auto"/>
        <w:bottom w:val="none" w:sz="0" w:space="0" w:color="auto"/>
        <w:right w:val="none" w:sz="0" w:space="0" w:color="auto"/>
      </w:divBdr>
    </w:div>
    <w:div w:id="1717703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biosains 2018 copy</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biosains 2018 copy</dc:title>
  <cp:lastModifiedBy>S</cp:lastModifiedBy>
  <cp:revision>9</cp:revision>
  <dcterms:created xsi:type="dcterms:W3CDTF">2025-01-14T07:30:00Z</dcterms:created>
  <dcterms:modified xsi:type="dcterms:W3CDTF">2025-01-23T08:17:00Z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Adobe Illustrator CS6 (Macintosh)</vt:lpwstr>
  </property>
  <property fmtid="{D5CDD505-2E9C-101B-9397-08002B2CF9AE}" pid="4" name="LastSaved">
    <vt:filetime>2025-01-14T00:00:00Z</vt:filetime>
  </property>
</Properties>
</file>