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316" w:rsidRPr="00E01D5A" w:rsidRDefault="003B6316" w:rsidP="003B6316">
      <w:pPr>
        <w:tabs>
          <w:tab w:val="left" w:pos="7331"/>
        </w:tabs>
        <w:spacing w:before="10" w:after="10" w:line="240" w:lineRule="auto"/>
        <w:ind w:left="720" w:right="720"/>
        <w:jc w:val="right"/>
        <w:rPr>
          <w:rFonts w:ascii="Times New Roman" w:hAnsi="Times New Roman"/>
          <w:b/>
        </w:rPr>
      </w:pPr>
      <w:r w:rsidRPr="00E01D5A">
        <w:rPr>
          <w:rFonts w:ascii="Times New Roman" w:hAnsi="Times New Roman"/>
          <w:b/>
        </w:rPr>
        <w:t>P22</w:t>
      </w:r>
    </w:p>
    <w:p w:rsidR="003B6316" w:rsidRPr="00E01D5A" w:rsidRDefault="003B6316" w:rsidP="003B6316">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3B6316" w:rsidRPr="00E01D5A" w:rsidRDefault="003B6316" w:rsidP="003B6316">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3B6316" w:rsidRPr="00E01D5A" w:rsidRDefault="003B6316" w:rsidP="003B6316">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3B6316" w:rsidRPr="00E01D5A" w:rsidRDefault="003B6316" w:rsidP="003B6316">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3B6316" w:rsidRDefault="003B6316" w:rsidP="003B6316">
      <w:pPr>
        <w:spacing w:before="10" w:after="10" w:line="240" w:lineRule="auto"/>
        <w:ind w:left="720" w:right="720"/>
        <w:jc w:val="center"/>
        <w:rPr>
          <w:rFonts w:ascii="Times New Roman" w:hAnsi="Times New Roman"/>
          <w:b/>
          <w:sz w:val="16"/>
          <w:szCs w:val="18"/>
        </w:rPr>
      </w:pPr>
    </w:p>
    <w:p w:rsidR="003B6316" w:rsidRPr="002E387F" w:rsidRDefault="003B6316" w:rsidP="003B6316">
      <w:pPr>
        <w:spacing w:before="10" w:after="10" w:line="240" w:lineRule="auto"/>
        <w:ind w:left="720" w:right="720"/>
        <w:jc w:val="center"/>
        <w:rPr>
          <w:rFonts w:ascii="Times New Roman" w:hAnsi="Times New Roman"/>
          <w:b/>
          <w:sz w:val="16"/>
          <w:szCs w:val="18"/>
        </w:rPr>
      </w:pPr>
    </w:p>
    <w:p w:rsidR="003B6316" w:rsidRDefault="003B6316" w:rsidP="003B631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r w:rsidRPr="00D6747F">
        <w:rPr>
          <w:rFonts w:ascii="Times New Roman" w:eastAsia="Times New Roman" w:hAnsi="Times New Roman"/>
          <w:b/>
          <w:bCs/>
          <w:sz w:val="24"/>
          <w:szCs w:val="24"/>
        </w:rPr>
        <w:t xml:space="preserve">Measurement of Mitochondrial Respiratory Chain Complexes Enzyme Activities in Human Fibroblast using Enzyme-linked </w:t>
      </w:r>
      <w:proofErr w:type="spellStart"/>
      <w:r w:rsidRPr="00D6747F">
        <w:rPr>
          <w:rFonts w:ascii="Times New Roman" w:eastAsia="Times New Roman" w:hAnsi="Times New Roman"/>
          <w:b/>
          <w:bCs/>
          <w:sz w:val="24"/>
          <w:szCs w:val="24"/>
        </w:rPr>
        <w:t>Immunosorbent</w:t>
      </w:r>
      <w:proofErr w:type="spellEnd"/>
      <w:r w:rsidRPr="00D6747F">
        <w:rPr>
          <w:rFonts w:ascii="Times New Roman" w:eastAsia="Times New Roman" w:hAnsi="Times New Roman"/>
          <w:b/>
          <w:bCs/>
          <w:sz w:val="24"/>
          <w:szCs w:val="24"/>
        </w:rPr>
        <w:t xml:space="preserve"> Assay</w:t>
      </w:r>
    </w:p>
    <w:p w:rsidR="003B6316" w:rsidRPr="00E01D5A" w:rsidRDefault="003B6316" w:rsidP="003B631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p>
    <w:p w:rsidR="003B6316" w:rsidRDefault="003B6316" w:rsidP="003B631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sz w:val="20"/>
          <w:szCs w:val="20"/>
        </w:rPr>
      </w:pPr>
      <w:r w:rsidRPr="00D6747F">
        <w:rPr>
          <w:rFonts w:ascii="Times New Roman" w:eastAsia="Times New Roman" w:hAnsi="Times New Roman"/>
          <w:sz w:val="20"/>
          <w:szCs w:val="20"/>
          <w:vertAlign w:val="superscript"/>
        </w:rPr>
        <w:t>1</w:t>
      </w:r>
      <w:r w:rsidRPr="00D6747F">
        <w:rPr>
          <w:rFonts w:ascii="Times New Roman" w:eastAsia="Times New Roman" w:hAnsi="Times New Roman"/>
          <w:sz w:val="20"/>
          <w:szCs w:val="20"/>
        </w:rPr>
        <w:t xml:space="preserve">Rosnani M, Pertiwi AKD*, </w:t>
      </w:r>
      <w:r w:rsidRPr="00D6747F">
        <w:rPr>
          <w:rFonts w:ascii="Times New Roman" w:eastAsia="Times New Roman" w:hAnsi="Times New Roman"/>
          <w:sz w:val="20"/>
          <w:szCs w:val="20"/>
          <w:vertAlign w:val="superscript"/>
        </w:rPr>
        <w:t>1</w:t>
      </w:r>
      <w:r w:rsidRPr="00D6747F">
        <w:rPr>
          <w:rFonts w:ascii="Times New Roman" w:eastAsia="Times New Roman" w:hAnsi="Times New Roman"/>
          <w:sz w:val="20"/>
          <w:szCs w:val="20"/>
        </w:rPr>
        <w:t xml:space="preserve">Affandi O, </w:t>
      </w:r>
      <w:r w:rsidRPr="00D6747F">
        <w:rPr>
          <w:rFonts w:ascii="Times New Roman" w:eastAsia="Times New Roman" w:hAnsi="Times New Roman"/>
          <w:sz w:val="20"/>
          <w:szCs w:val="20"/>
          <w:vertAlign w:val="superscript"/>
        </w:rPr>
        <w:t>1</w:t>
      </w:r>
      <w:r w:rsidRPr="00D6747F">
        <w:rPr>
          <w:rFonts w:ascii="Times New Roman" w:eastAsia="Times New Roman" w:hAnsi="Times New Roman"/>
          <w:sz w:val="20"/>
          <w:szCs w:val="20"/>
        </w:rPr>
        <w:t xml:space="preserve">Izyan MI and </w:t>
      </w:r>
      <w:r w:rsidRPr="00D6747F">
        <w:rPr>
          <w:rFonts w:ascii="Times New Roman" w:eastAsia="Times New Roman" w:hAnsi="Times New Roman"/>
          <w:sz w:val="20"/>
          <w:szCs w:val="20"/>
          <w:vertAlign w:val="superscript"/>
        </w:rPr>
        <w:t>1</w:t>
      </w:r>
      <w:r w:rsidRPr="00D6747F">
        <w:rPr>
          <w:rFonts w:ascii="Times New Roman" w:eastAsia="Times New Roman" w:hAnsi="Times New Roman"/>
          <w:sz w:val="20"/>
          <w:szCs w:val="20"/>
        </w:rPr>
        <w:t>Zabedah MY</w:t>
      </w:r>
    </w:p>
    <w:p w:rsidR="003B6316" w:rsidRPr="002E387F" w:rsidRDefault="003B6316" w:rsidP="003B6316">
      <w:pPr>
        <w:tabs>
          <w:tab w:val="left" w:pos="2250"/>
          <w:tab w:val="left" w:pos="2610"/>
          <w:tab w:val="left" w:pos="6210"/>
          <w:tab w:val="left" w:pos="6750"/>
          <w:tab w:val="left" w:pos="9270"/>
        </w:tabs>
        <w:spacing w:before="10" w:after="10" w:line="240" w:lineRule="auto"/>
        <w:ind w:left="720" w:right="720"/>
        <w:jc w:val="center"/>
        <w:rPr>
          <w:rFonts w:ascii="Times New Roman" w:eastAsia="MS Mincho" w:hAnsi="Times New Roman"/>
          <w:sz w:val="24"/>
          <w:szCs w:val="20"/>
          <w:lang w:eastAsia="ja-JP"/>
        </w:rPr>
      </w:pPr>
    </w:p>
    <w:p w:rsidR="003B6316" w:rsidRDefault="003B6316" w:rsidP="003B631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i/>
          <w:sz w:val="16"/>
          <w:szCs w:val="16"/>
        </w:rPr>
      </w:pPr>
      <w:r w:rsidRPr="00D6747F">
        <w:rPr>
          <w:rFonts w:ascii="Times New Roman" w:eastAsia="Times New Roman" w:hAnsi="Times New Roman"/>
          <w:i/>
          <w:sz w:val="16"/>
          <w:szCs w:val="16"/>
          <w:vertAlign w:val="superscript"/>
        </w:rPr>
        <w:t>1</w:t>
      </w:r>
      <w:r w:rsidRPr="00D6747F">
        <w:rPr>
          <w:rFonts w:ascii="Times New Roman" w:eastAsia="Times New Roman" w:hAnsi="Times New Roman"/>
          <w:i/>
          <w:sz w:val="16"/>
          <w:szCs w:val="16"/>
        </w:rPr>
        <w:t xml:space="preserve">Biochemistry Unit, </w:t>
      </w:r>
      <w:proofErr w:type="spellStart"/>
      <w:r w:rsidRPr="00D6747F">
        <w:rPr>
          <w:rFonts w:ascii="Times New Roman" w:eastAsia="Times New Roman" w:hAnsi="Times New Roman"/>
          <w:i/>
          <w:sz w:val="16"/>
          <w:szCs w:val="16"/>
        </w:rPr>
        <w:t>Specialised</w:t>
      </w:r>
      <w:proofErr w:type="spellEnd"/>
      <w:r w:rsidRPr="00D6747F">
        <w:rPr>
          <w:rFonts w:ascii="Times New Roman" w:eastAsia="Times New Roman" w:hAnsi="Times New Roman"/>
          <w:i/>
          <w:sz w:val="16"/>
          <w:szCs w:val="16"/>
        </w:rPr>
        <w:t xml:space="preserve"> Diagnostic Centre, Institute for Medical Research, </w:t>
      </w:r>
      <w:proofErr w:type="spellStart"/>
      <w:r w:rsidRPr="00D6747F">
        <w:rPr>
          <w:rFonts w:ascii="Times New Roman" w:eastAsia="Times New Roman" w:hAnsi="Times New Roman"/>
          <w:i/>
          <w:sz w:val="16"/>
          <w:szCs w:val="16"/>
        </w:rPr>
        <w:t>Jalan</w:t>
      </w:r>
      <w:proofErr w:type="spellEnd"/>
      <w:r w:rsidRPr="00D6747F">
        <w:rPr>
          <w:rFonts w:ascii="Times New Roman" w:eastAsia="Times New Roman" w:hAnsi="Times New Roman"/>
          <w:i/>
          <w:sz w:val="16"/>
          <w:szCs w:val="16"/>
        </w:rPr>
        <w:t xml:space="preserve"> Pahang, 50588 KUALA LUMPUR</w:t>
      </w:r>
      <w:r>
        <w:rPr>
          <w:rFonts w:ascii="Times New Roman" w:eastAsia="Times New Roman" w:hAnsi="Times New Roman"/>
          <w:i/>
          <w:sz w:val="16"/>
          <w:szCs w:val="16"/>
        </w:rPr>
        <w:t>.</w:t>
      </w:r>
    </w:p>
    <w:p w:rsidR="003B6316" w:rsidRPr="002E387F" w:rsidRDefault="003B6316" w:rsidP="003B631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i/>
          <w:sz w:val="24"/>
          <w:szCs w:val="16"/>
        </w:rPr>
      </w:pPr>
    </w:p>
    <w:p w:rsidR="003B6316" w:rsidRPr="002E387F" w:rsidRDefault="003B6316" w:rsidP="003B6316">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i/>
          <w:sz w:val="16"/>
          <w:szCs w:val="16"/>
        </w:rPr>
      </w:pPr>
      <w:r w:rsidRPr="00E01D5A">
        <w:rPr>
          <w:rFonts w:ascii="Times New Roman" w:eastAsia="MS Mincho" w:hAnsi="Times New Roman"/>
          <w:b/>
          <w:sz w:val="24"/>
          <w:szCs w:val="24"/>
          <w:lang w:val="en-SG"/>
        </w:rPr>
        <w:t>ABSTRACT</w:t>
      </w:r>
    </w:p>
    <w:p w:rsidR="003B6316" w:rsidRDefault="003B6316" w:rsidP="003B6316">
      <w:pPr>
        <w:tabs>
          <w:tab w:val="left" w:pos="284"/>
          <w:tab w:val="left" w:pos="6521"/>
          <w:tab w:val="left" w:pos="10348"/>
        </w:tabs>
        <w:spacing w:before="10" w:after="10" w:line="240" w:lineRule="auto"/>
        <w:ind w:left="720" w:right="720" w:hanging="284"/>
        <w:jc w:val="center"/>
        <w:rPr>
          <w:rFonts w:ascii="Times New Roman" w:eastAsia="MS Mincho" w:hAnsi="Times New Roman"/>
          <w:b/>
          <w:sz w:val="24"/>
          <w:szCs w:val="24"/>
          <w:lang w:val="en-SG"/>
        </w:rPr>
      </w:pPr>
    </w:p>
    <w:p w:rsidR="003B6316" w:rsidRDefault="003B6316" w:rsidP="003B6316">
      <w:pPr>
        <w:tabs>
          <w:tab w:val="left" w:pos="284"/>
          <w:tab w:val="left" w:pos="6521"/>
          <w:tab w:val="left" w:pos="10348"/>
        </w:tabs>
        <w:spacing w:before="10" w:after="10" w:line="240" w:lineRule="auto"/>
        <w:ind w:left="720" w:right="720" w:hanging="284"/>
        <w:jc w:val="center"/>
        <w:rPr>
          <w:rFonts w:ascii="Times New Roman" w:eastAsia="MS Mincho" w:hAnsi="Times New Roman"/>
          <w:b/>
          <w:sz w:val="24"/>
          <w:szCs w:val="24"/>
          <w:lang w:val="en-SG"/>
        </w:rPr>
      </w:pPr>
    </w:p>
    <w:p w:rsidR="003B6316" w:rsidRPr="00D6747F" w:rsidRDefault="003B6316" w:rsidP="003B6316">
      <w:pPr>
        <w:tabs>
          <w:tab w:val="left" w:pos="284"/>
          <w:tab w:val="left" w:pos="6521"/>
          <w:tab w:val="left" w:pos="10348"/>
        </w:tabs>
        <w:spacing w:before="10" w:after="10" w:line="240" w:lineRule="auto"/>
        <w:ind w:left="720" w:right="720" w:hanging="14"/>
        <w:jc w:val="both"/>
        <w:rPr>
          <w:rFonts w:ascii="Times New Roman" w:eastAsia="MS Mincho" w:hAnsi="Times New Roman"/>
          <w:sz w:val="24"/>
          <w:szCs w:val="24"/>
          <w:lang w:val="en-SG"/>
        </w:rPr>
      </w:pPr>
      <w:r w:rsidRPr="00D6747F">
        <w:rPr>
          <w:rFonts w:ascii="Times New Roman" w:eastAsia="MS Mincho" w:hAnsi="Times New Roman"/>
          <w:sz w:val="24"/>
          <w:szCs w:val="24"/>
          <w:lang w:val="en-SG"/>
        </w:rPr>
        <w:t xml:space="preserve">The mitochondrial respiratory chain (MRC) plays crucial roles in cellular energy production through four enzymatic complexes, CI to CIV. Deficiencies of Complex I and IV are the most common causes of mitochondrial oxidative </w:t>
      </w:r>
      <w:proofErr w:type="spellStart"/>
      <w:r w:rsidRPr="00D6747F">
        <w:rPr>
          <w:rFonts w:ascii="Times New Roman" w:eastAsia="MS Mincho" w:hAnsi="Times New Roman"/>
          <w:sz w:val="24"/>
          <w:szCs w:val="24"/>
          <w:lang w:val="en-SG"/>
        </w:rPr>
        <w:t>phosphorylation</w:t>
      </w:r>
      <w:proofErr w:type="spellEnd"/>
      <w:r w:rsidRPr="00D6747F">
        <w:rPr>
          <w:rFonts w:ascii="Times New Roman" w:eastAsia="MS Mincho" w:hAnsi="Times New Roman"/>
          <w:sz w:val="24"/>
          <w:szCs w:val="24"/>
          <w:lang w:val="en-SG"/>
        </w:rPr>
        <w:t xml:space="preserve"> (OXPHOS) disorders.  Since our current kinetic enzyme assay for analysing activities of these complexes is very tedious and less precise, we aimed to evaluate an alternative method using enzyme-linked </w:t>
      </w:r>
      <w:proofErr w:type="spellStart"/>
      <w:r w:rsidRPr="00D6747F">
        <w:rPr>
          <w:rFonts w:ascii="Times New Roman" w:eastAsia="MS Mincho" w:hAnsi="Times New Roman"/>
          <w:sz w:val="24"/>
          <w:szCs w:val="24"/>
          <w:lang w:val="en-SG"/>
        </w:rPr>
        <w:t>immunosorbent</w:t>
      </w:r>
      <w:proofErr w:type="spellEnd"/>
      <w:r w:rsidRPr="00D6747F">
        <w:rPr>
          <w:rFonts w:ascii="Times New Roman" w:eastAsia="MS Mincho" w:hAnsi="Times New Roman"/>
          <w:sz w:val="24"/>
          <w:szCs w:val="24"/>
          <w:lang w:val="en-SG"/>
        </w:rPr>
        <w:t xml:space="preserve"> assay (ELISA) to measure activities of CI and CIV. Wild-type strain human fibroblast was used for linearity and precision studies.  15 post-mortem’s skin samples taken from infants suspected of having IEM were cultured and the fibroblasts were analysed for CI and CIV activities using both ELISA and the current kinetic enzyme assay. The well of the ELISA plates were pre-coated with specific antibodies which will immobilised the complexes. Substrates were added and the </w:t>
      </w:r>
      <w:proofErr w:type="spellStart"/>
      <w:r w:rsidRPr="00D6747F">
        <w:rPr>
          <w:rFonts w:ascii="Times New Roman" w:eastAsia="MS Mincho" w:hAnsi="Times New Roman"/>
          <w:sz w:val="24"/>
          <w:szCs w:val="24"/>
          <w:lang w:val="en-SG"/>
        </w:rPr>
        <w:t>colorimetrical</w:t>
      </w:r>
      <w:proofErr w:type="spellEnd"/>
      <w:r w:rsidRPr="00D6747F">
        <w:rPr>
          <w:rFonts w:ascii="Times New Roman" w:eastAsia="MS Mincho" w:hAnsi="Times New Roman"/>
          <w:sz w:val="24"/>
          <w:szCs w:val="24"/>
          <w:lang w:val="en-SG"/>
        </w:rPr>
        <w:t xml:space="preserve"> oxidation of NADH to NAD+ at 450nm and reduced </w:t>
      </w:r>
      <w:proofErr w:type="spellStart"/>
      <w:r w:rsidRPr="00D6747F">
        <w:rPr>
          <w:rFonts w:ascii="Times New Roman" w:eastAsia="MS Mincho" w:hAnsi="Times New Roman"/>
          <w:sz w:val="24"/>
          <w:szCs w:val="24"/>
          <w:lang w:val="en-SG"/>
        </w:rPr>
        <w:t>cytochrome</w:t>
      </w:r>
      <w:proofErr w:type="spellEnd"/>
      <w:r w:rsidRPr="00D6747F">
        <w:rPr>
          <w:rFonts w:ascii="Times New Roman" w:eastAsia="MS Mincho" w:hAnsi="Times New Roman"/>
          <w:sz w:val="24"/>
          <w:szCs w:val="24"/>
          <w:lang w:val="en-SG"/>
        </w:rPr>
        <w:t xml:space="preserve"> c at 550nm were captured by Eon™ spectrophotometer. The measurements of activities were expressed as rate (</w:t>
      </w:r>
      <w:proofErr w:type="spellStart"/>
      <w:r w:rsidRPr="00D6747F">
        <w:rPr>
          <w:rFonts w:ascii="Times New Roman" w:eastAsia="MS Mincho" w:hAnsi="Times New Roman"/>
          <w:sz w:val="24"/>
          <w:szCs w:val="24"/>
          <w:lang w:val="en-SG"/>
        </w:rPr>
        <w:t>mOD</w:t>
      </w:r>
      <w:proofErr w:type="spellEnd"/>
      <w:r w:rsidRPr="00D6747F">
        <w:rPr>
          <w:rFonts w:ascii="Times New Roman" w:eastAsia="MS Mincho" w:hAnsi="Times New Roman"/>
          <w:sz w:val="24"/>
          <w:szCs w:val="24"/>
          <w:lang w:val="en-SG"/>
        </w:rPr>
        <w:t xml:space="preserve">/min) per mg of cell </w:t>
      </w:r>
      <w:proofErr w:type="spellStart"/>
      <w:r w:rsidRPr="00D6747F">
        <w:rPr>
          <w:rFonts w:ascii="Times New Roman" w:eastAsia="MS Mincho" w:hAnsi="Times New Roman"/>
          <w:sz w:val="24"/>
          <w:szCs w:val="24"/>
          <w:lang w:val="en-SG"/>
        </w:rPr>
        <w:t>lysate</w:t>
      </w:r>
      <w:proofErr w:type="spellEnd"/>
      <w:r w:rsidRPr="00D6747F">
        <w:rPr>
          <w:rFonts w:ascii="Times New Roman" w:eastAsia="MS Mincho" w:hAnsi="Times New Roman"/>
          <w:sz w:val="24"/>
          <w:szCs w:val="24"/>
          <w:lang w:val="en-SG"/>
        </w:rPr>
        <w:t>. Data were analysed using SPSS software to determine their correlation. Linearity of CI and CIV activities using ELISA was up to 0.25 mg/</w:t>
      </w:r>
      <w:proofErr w:type="spellStart"/>
      <w:r w:rsidRPr="00D6747F">
        <w:rPr>
          <w:rFonts w:ascii="Times New Roman" w:eastAsia="MS Mincho" w:hAnsi="Times New Roman"/>
          <w:sz w:val="24"/>
          <w:szCs w:val="24"/>
          <w:lang w:val="en-SG"/>
        </w:rPr>
        <w:t>mL</w:t>
      </w:r>
      <w:proofErr w:type="spellEnd"/>
      <w:r w:rsidRPr="00D6747F">
        <w:rPr>
          <w:rFonts w:ascii="Times New Roman" w:eastAsia="MS Mincho" w:hAnsi="Times New Roman"/>
          <w:sz w:val="24"/>
          <w:szCs w:val="24"/>
          <w:lang w:val="en-SG"/>
        </w:rPr>
        <w:t xml:space="preserve"> of fibroblast </w:t>
      </w:r>
      <w:proofErr w:type="spellStart"/>
      <w:r w:rsidRPr="00D6747F">
        <w:rPr>
          <w:rFonts w:ascii="Times New Roman" w:eastAsia="MS Mincho" w:hAnsi="Times New Roman"/>
          <w:sz w:val="24"/>
          <w:szCs w:val="24"/>
          <w:lang w:val="en-SG"/>
        </w:rPr>
        <w:t>lysate</w:t>
      </w:r>
      <w:proofErr w:type="spellEnd"/>
      <w:r w:rsidRPr="00D6747F">
        <w:rPr>
          <w:rFonts w:ascii="Times New Roman" w:eastAsia="MS Mincho" w:hAnsi="Times New Roman"/>
          <w:sz w:val="24"/>
          <w:szCs w:val="24"/>
          <w:lang w:val="en-SG"/>
        </w:rPr>
        <w:t>. The mean activities of CI and CIV were 37.86±4.03; and 74.85±8.83 (</w:t>
      </w:r>
      <w:proofErr w:type="spellStart"/>
      <w:r w:rsidRPr="00D6747F">
        <w:rPr>
          <w:rFonts w:ascii="Times New Roman" w:eastAsia="MS Mincho" w:hAnsi="Times New Roman"/>
          <w:sz w:val="24"/>
          <w:szCs w:val="24"/>
          <w:lang w:val="en-SG"/>
        </w:rPr>
        <w:t>mOD</w:t>
      </w:r>
      <w:proofErr w:type="spellEnd"/>
      <w:r w:rsidRPr="00D6747F">
        <w:rPr>
          <w:rFonts w:ascii="Times New Roman" w:eastAsia="MS Mincho" w:hAnsi="Times New Roman"/>
          <w:sz w:val="24"/>
          <w:szCs w:val="24"/>
          <w:lang w:val="en-SG"/>
        </w:rPr>
        <w:t>/min/mg) (n=15), respectively. Precision study of both complexes using ELISA showed coefficient of variation (CV) less than 15% compared to 25% in kinetic assay. Enzyme activities in both methods showed a normal distribution (p&lt;0.05). Pearson's correlation coefficients between ELISA and kinetic enzyme assays was moderate with r = 0.577 and 0.553 for CI and CIV, respectively. ELISA assay of CI and CIV are more precise and comparable to current kinetic enzyme assay and can be used as an alternative method to measure MRC complexes activities.</w:t>
      </w:r>
    </w:p>
    <w:p w:rsidR="005F50B0" w:rsidRPr="003B6316" w:rsidRDefault="005F50B0" w:rsidP="003B6316">
      <w:pPr>
        <w:rPr>
          <w:lang w:val="en-SG"/>
        </w:rPr>
      </w:pPr>
    </w:p>
    <w:sectPr w:rsidR="005F50B0" w:rsidRPr="003B6316"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B6316"/>
    <w:rsid w:val="003F11C2"/>
    <w:rsid w:val="00424759"/>
    <w:rsid w:val="004B7E69"/>
    <w:rsid w:val="005B184C"/>
    <w:rsid w:val="005F50B0"/>
    <w:rsid w:val="0068052D"/>
    <w:rsid w:val="006C3EB3"/>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C24664"/>
    <w:rsid w:val="00D87788"/>
    <w:rsid w:val="00D95844"/>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2017-11-08T06:34:00Z</dcterms:created>
  <dcterms:modified xsi:type="dcterms:W3CDTF">2017-11-08T06:34:00Z</dcterms:modified>
</cp:coreProperties>
</file>