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D2" w:rsidRPr="00E01D5A" w:rsidRDefault="006501D2" w:rsidP="006501D2">
      <w:pPr>
        <w:spacing w:before="10" w:after="10" w:line="240" w:lineRule="auto"/>
        <w:ind w:left="720" w:right="720"/>
        <w:jc w:val="right"/>
        <w:rPr>
          <w:rFonts w:ascii="Times New Roman" w:hAnsi="Times New Roman"/>
          <w:b/>
          <w:sz w:val="21"/>
          <w:szCs w:val="21"/>
        </w:rPr>
      </w:pPr>
      <w:r w:rsidRPr="00E01D5A">
        <w:rPr>
          <w:rFonts w:ascii="Times New Roman" w:hAnsi="Times New Roman"/>
          <w:b/>
          <w:sz w:val="21"/>
          <w:szCs w:val="21"/>
        </w:rPr>
        <w:t>P2</w:t>
      </w:r>
      <w:r>
        <w:rPr>
          <w:rFonts w:ascii="Times New Roman" w:hAnsi="Times New Roman"/>
          <w:b/>
          <w:sz w:val="21"/>
          <w:szCs w:val="21"/>
        </w:rPr>
        <w:t>9</w:t>
      </w:r>
    </w:p>
    <w:p w:rsidR="006501D2" w:rsidRPr="00E01D5A" w:rsidRDefault="006501D2" w:rsidP="006501D2">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6501D2" w:rsidRPr="00E01D5A" w:rsidRDefault="006501D2" w:rsidP="006501D2">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6501D2" w:rsidRPr="00E01D5A" w:rsidRDefault="006501D2" w:rsidP="006501D2">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6501D2" w:rsidRPr="00E01D5A" w:rsidRDefault="006501D2" w:rsidP="006501D2">
      <w:pPr>
        <w:widowControl w:val="0"/>
        <w:autoSpaceDE w:val="0"/>
        <w:autoSpaceDN w:val="0"/>
        <w:adjustRightInd w:val="0"/>
        <w:spacing w:before="10" w:after="10" w:line="240" w:lineRule="auto"/>
        <w:ind w:left="720" w:right="720"/>
        <w:jc w:val="center"/>
        <w:rPr>
          <w:rFonts w:ascii="Times New Roman" w:hAnsi="Times New Roman"/>
          <w:b/>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6501D2" w:rsidRDefault="006501D2" w:rsidP="006501D2">
      <w:pPr>
        <w:spacing w:before="10" w:after="10" w:line="240" w:lineRule="auto"/>
        <w:ind w:right="720"/>
        <w:rPr>
          <w:rFonts w:ascii="Times New Roman" w:eastAsia="MS Mincho" w:hAnsi="Times New Roman"/>
          <w:b/>
          <w:sz w:val="16"/>
          <w:szCs w:val="18"/>
          <w:lang w:eastAsia="ja-JP"/>
        </w:rPr>
      </w:pPr>
    </w:p>
    <w:p w:rsidR="006501D2" w:rsidRDefault="006501D2" w:rsidP="006501D2">
      <w:pPr>
        <w:spacing w:before="10" w:after="10" w:line="240" w:lineRule="auto"/>
        <w:ind w:left="720" w:right="720"/>
        <w:jc w:val="center"/>
        <w:rPr>
          <w:rFonts w:ascii="Times New Roman" w:hAnsi="Times New Roman"/>
          <w:b/>
          <w:sz w:val="24"/>
          <w:szCs w:val="24"/>
          <w:lang w:val="en-MY"/>
        </w:rPr>
      </w:pPr>
      <w:r w:rsidRPr="00675843">
        <w:rPr>
          <w:rFonts w:ascii="Times New Roman" w:hAnsi="Times New Roman"/>
          <w:b/>
          <w:sz w:val="24"/>
          <w:szCs w:val="24"/>
          <w:lang w:val="en-MY"/>
        </w:rPr>
        <w:t xml:space="preserve">Genetic and Non-genetic Studies of Type 2 Diabetes </w:t>
      </w:r>
      <w:proofErr w:type="gramStart"/>
      <w:r w:rsidRPr="00675843">
        <w:rPr>
          <w:rFonts w:ascii="Times New Roman" w:hAnsi="Times New Roman"/>
          <w:b/>
          <w:sz w:val="24"/>
          <w:szCs w:val="24"/>
          <w:lang w:val="en-MY"/>
        </w:rPr>
        <w:t>In</w:t>
      </w:r>
      <w:proofErr w:type="gramEnd"/>
      <w:r w:rsidRPr="00675843">
        <w:rPr>
          <w:rFonts w:ascii="Times New Roman" w:hAnsi="Times New Roman"/>
          <w:b/>
          <w:sz w:val="24"/>
          <w:szCs w:val="24"/>
          <w:lang w:val="en-MY"/>
        </w:rPr>
        <w:t xml:space="preserve"> Three Susceptible Asian Populations: Malays, Chinese and Indian</w:t>
      </w:r>
    </w:p>
    <w:p w:rsidR="006501D2" w:rsidRPr="00E01D5A" w:rsidRDefault="006501D2" w:rsidP="006501D2">
      <w:pPr>
        <w:spacing w:before="10" w:after="10" w:line="240" w:lineRule="auto"/>
        <w:ind w:left="720" w:right="720"/>
        <w:jc w:val="center"/>
        <w:rPr>
          <w:rFonts w:ascii="Times New Roman" w:hAnsi="Times New Roman"/>
          <w:b/>
          <w:sz w:val="24"/>
          <w:szCs w:val="24"/>
          <w:lang w:val="en-MY"/>
        </w:rPr>
      </w:pPr>
    </w:p>
    <w:p w:rsidR="006501D2" w:rsidRDefault="006501D2" w:rsidP="006501D2">
      <w:pPr>
        <w:spacing w:before="10" w:after="10" w:line="240" w:lineRule="auto"/>
        <w:ind w:left="720" w:right="720"/>
        <w:jc w:val="center"/>
        <w:rPr>
          <w:rFonts w:ascii="Times New Roman" w:hAnsi="Times New Roman"/>
          <w:sz w:val="20"/>
          <w:szCs w:val="20"/>
          <w:lang w:val="en-MY"/>
        </w:rPr>
      </w:pPr>
      <w:r w:rsidRPr="00675843">
        <w:rPr>
          <w:rFonts w:ascii="Times New Roman" w:hAnsi="Times New Roman"/>
          <w:sz w:val="20"/>
          <w:szCs w:val="20"/>
          <w:vertAlign w:val="superscript"/>
          <w:lang w:val="en-MY"/>
        </w:rPr>
        <w:t>1,2</w:t>
      </w:r>
      <w:r w:rsidRPr="00675843">
        <w:rPr>
          <w:rFonts w:ascii="Times New Roman" w:hAnsi="Times New Roman"/>
          <w:sz w:val="20"/>
          <w:szCs w:val="20"/>
          <w:lang w:val="en-MY"/>
        </w:rPr>
        <w:t xml:space="preserve">Noraidatulakma Abdullah, </w:t>
      </w:r>
      <w:r w:rsidRPr="00675843">
        <w:rPr>
          <w:rFonts w:ascii="Times New Roman" w:hAnsi="Times New Roman"/>
          <w:sz w:val="20"/>
          <w:szCs w:val="20"/>
          <w:vertAlign w:val="superscript"/>
          <w:lang w:val="en-MY"/>
        </w:rPr>
        <w:t>2</w:t>
      </w:r>
      <w:r w:rsidRPr="00675843">
        <w:rPr>
          <w:rFonts w:ascii="Times New Roman" w:hAnsi="Times New Roman"/>
          <w:sz w:val="20"/>
          <w:szCs w:val="20"/>
          <w:lang w:val="en-MY"/>
        </w:rPr>
        <w:t xml:space="preserve">Nor </w:t>
      </w:r>
      <w:proofErr w:type="spellStart"/>
      <w:r w:rsidRPr="00675843">
        <w:rPr>
          <w:rFonts w:ascii="Times New Roman" w:hAnsi="Times New Roman"/>
          <w:sz w:val="20"/>
          <w:szCs w:val="20"/>
          <w:lang w:val="en-MY"/>
        </w:rPr>
        <w:t>Azian</w:t>
      </w:r>
      <w:proofErr w:type="spellEnd"/>
      <w:r w:rsidRPr="00675843">
        <w:rPr>
          <w:rFonts w:ascii="Times New Roman" w:hAnsi="Times New Roman"/>
          <w:sz w:val="20"/>
          <w:szCs w:val="20"/>
          <w:lang w:val="en-MY"/>
        </w:rPr>
        <w:t xml:space="preserve"> Abdul </w:t>
      </w:r>
      <w:proofErr w:type="spellStart"/>
      <w:r w:rsidRPr="00675843">
        <w:rPr>
          <w:rFonts w:ascii="Times New Roman" w:hAnsi="Times New Roman"/>
          <w:sz w:val="20"/>
          <w:szCs w:val="20"/>
          <w:lang w:val="en-MY"/>
        </w:rPr>
        <w:t>Murad</w:t>
      </w:r>
      <w:proofErr w:type="spellEnd"/>
      <w:r w:rsidRPr="00675843">
        <w:rPr>
          <w:rFonts w:ascii="Times New Roman" w:hAnsi="Times New Roman"/>
          <w:sz w:val="20"/>
          <w:szCs w:val="20"/>
          <w:lang w:val="en-MY"/>
        </w:rPr>
        <w:t xml:space="preserve">, </w:t>
      </w:r>
      <w:r w:rsidRPr="00675843">
        <w:rPr>
          <w:rFonts w:ascii="Times New Roman" w:hAnsi="Times New Roman"/>
          <w:sz w:val="20"/>
          <w:szCs w:val="20"/>
          <w:vertAlign w:val="superscript"/>
          <w:lang w:val="en-MY"/>
        </w:rPr>
        <w:t>2</w:t>
      </w:r>
      <w:r w:rsidRPr="00675843">
        <w:rPr>
          <w:rFonts w:ascii="Times New Roman" w:hAnsi="Times New Roman"/>
          <w:sz w:val="20"/>
          <w:szCs w:val="20"/>
          <w:lang w:val="en-MY"/>
        </w:rPr>
        <w:t xml:space="preserve">Ezanee </w:t>
      </w:r>
      <w:proofErr w:type="spellStart"/>
      <w:r w:rsidRPr="00675843">
        <w:rPr>
          <w:rFonts w:ascii="Times New Roman" w:hAnsi="Times New Roman"/>
          <w:sz w:val="20"/>
          <w:szCs w:val="20"/>
          <w:lang w:val="en-MY"/>
        </w:rPr>
        <w:t>Azlina</w:t>
      </w:r>
      <w:proofErr w:type="spellEnd"/>
      <w:r w:rsidRPr="00675843">
        <w:rPr>
          <w:rFonts w:ascii="Times New Roman" w:hAnsi="Times New Roman"/>
          <w:sz w:val="20"/>
          <w:szCs w:val="20"/>
          <w:lang w:val="en-MY"/>
        </w:rPr>
        <w:t xml:space="preserve"> </w:t>
      </w:r>
      <w:proofErr w:type="spellStart"/>
      <w:r w:rsidRPr="00675843">
        <w:rPr>
          <w:rFonts w:ascii="Times New Roman" w:hAnsi="Times New Roman"/>
          <w:sz w:val="20"/>
          <w:szCs w:val="20"/>
          <w:lang w:val="en-MY"/>
        </w:rPr>
        <w:t>Mohd</w:t>
      </w:r>
      <w:proofErr w:type="spellEnd"/>
      <w:r w:rsidRPr="00675843">
        <w:rPr>
          <w:rFonts w:ascii="Times New Roman" w:hAnsi="Times New Roman"/>
          <w:sz w:val="20"/>
          <w:szCs w:val="20"/>
          <w:lang w:val="en-MY"/>
        </w:rPr>
        <w:t xml:space="preserve"> </w:t>
      </w:r>
      <w:proofErr w:type="spellStart"/>
      <w:r w:rsidRPr="00675843">
        <w:rPr>
          <w:rFonts w:ascii="Times New Roman" w:hAnsi="Times New Roman"/>
          <w:sz w:val="20"/>
          <w:szCs w:val="20"/>
          <w:lang w:val="en-MY"/>
        </w:rPr>
        <w:t>Haniff</w:t>
      </w:r>
      <w:proofErr w:type="spellEnd"/>
      <w:r w:rsidRPr="00675843">
        <w:rPr>
          <w:rFonts w:ascii="Times New Roman" w:hAnsi="Times New Roman"/>
          <w:sz w:val="20"/>
          <w:szCs w:val="20"/>
          <w:lang w:val="en-MY"/>
        </w:rPr>
        <w:t xml:space="preserve">, </w:t>
      </w:r>
      <w:r w:rsidRPr="00675843">
        <w:rPr>
          <w:rFonts w:ascii="Times New Roman" w:hAnsi="Times New Roman"/>
          <w:sz w:val="20"/>
          <w:szCs w:val="20"/>
          <w:vertAlign w:val="superscript"/>
          <w:lang w:val="en-MY"/>
        </w:rPr>
        <w:t>2</w:t>
      </w:r>
      <w:r w:rsidRPr="00675843">
        <w:rPr>
          <w:rFonts w:ascii="Times New Roman" w:hAnsi="Times New Roman"/>
          <w:sz w:val="20"/>
          <w:szCs w:val="20"/>
          <w:lang w:val="en-MY"/>
        </w:rPr>
        <w:t xml:space="preserve">Saiful Effendi </w:t>
      </w:r>
      <w:proofErr w:type="spellStart"/>
      <w:r w:rsidRPr="00675843">
        <w:rPr>
          <w:rFonts w:ascii="Times New Roman" w:hAnsi="Times New Roman"/>
          <w:sz w:val="20"/>
          <w:szCs w:val="20"/>
          <w:lang w:val="en-MY"/>
        </w:rPr>
        <w:t>Syafruddin</w:t>
      </w:r>
      <w:proofErr w:type="spellEnd"/>
      <w:r w:rsidRPr="00675843">
        <w:rPr>
          <w:rFonts w:ascii="Times New Roman" w:hAnsi="Times New Roman"/>
          <w:sz w:val="20"/>
          <w:szCs w:val="20"/>
          <w:lang w:val="en-MY"/>
        </w:rPr>
        <w:t xml:space="preserve">, </w:t>
      </w:r>
      <w:r w:rsidRPr="00675843">
        <w:rPr>
          <w:rFonts w:ascii="Times New Roman" w:hAnsi="Times New Roman"/>
          <w:sz w:val="20"/>
          <w:szCs w:val="20"/>
          <w:vertAlign w:val="superscript"/>
          <w:lang w:val="en-MY"/>
        </w:rPr>
        <w:t>3,4</w:t>
      </w:r>
      <w:r w:rsidRPr="00675843">
        <w:rPr>
          <w:rFonts w:ascii="Times New Roman" w:hAnsi="Times New Roman"/>
          <w:sz w:val="20"/>
          <w:szCs w:val="20"/>
          <w:lang w:val="en-MY"/>
        </w:rPr>
        <w:t xml:space="preserve">John </w:t>
      </w:r>
      <w:proofErr w:type="spellStart"/>
      <w:r w:rsidRPr="00675843">
        <w:rPr>
          <w:rFonts w:ascii="Times New Roman" w:hAnsi="Times New Roman"/>
          <w:sz w:val="20"/>
          <w:szCs w:val="20"/>
          <w:lang w:val="en-MY"/>
        </w:rPr>
        <w:t>Attia</w:t>
      </w:r>
      <w:proofErr w:type="spellEnd"/>
      <w:r w:rsidRPr="00675843">
        <w:rPr>
          <w:rFonts w:ascii="Times New Roman" w:hAnsi="Times New Roman"/>
          <w:sz w:val="20"/>
          <w:szCs w:val="20"/>
          <w:lang w:val="en-MY"/>
        </w:rPr>
        <w:t xml:space="preserve">, </w:t>
      </w:r>
      <w:r w:rsidRPr="00675843">
        <w:rPr>
          <w:rFonts w:ascii="Times New Roman" w:hAnsi="Times New Roman"/>
          <w:sz w:val="20"/>
          <w:szCs w:val="20"/>
          <w:vertAlign w:val="superscript"/>
          <w:lang w:val="en-MY"/>
        </w:rPr>
        <w:t>3,4</w:t>
      </w:r>
      <w:r w:rsidRPr="00675843">
        <w:rPr>
          <w:rFonts w:ascii="Times New Roman" w:hAnsi="Times New Roman"/>
          <w:sz w:val="20"/>
          <w:szCs w:val="20"/>
          <w:lang w:val="en-MY"/>
        </w:rPr>
        <w:t xml:space="preserve">Christopher </w:t>
      </w:r>
      <w:proofErr w:type="spellStart"/>
      <w:r w:rsidRPr="00675843">
        <w:rPr>
          <w:rFonts w:ascii="Times New Roman" w:hAnsi="Times New Roman"/>
          <w:sz w:val="20"/>
          <w:szCs w:val="20"/>
          <w:lang w:val="en-MY"/>
        </w:rPr>
        <w:t>Oldmeadow</w:t>
      </w:r>
      <w:proofErr w:type="spellEnd"/>
      <w:r w:rsidRPr="00675843">
        <w:rPr>
          <w:rFonts w:ascii="Times New Roman" w:hAnsi="Times New Roman"/>
          <w:sz w:val="20"/>
          <w:szCs w:val="20"/>
          <w:lang w:val="en-MY"/>
        </w:rPr>
        <w:t xml:space="preserve">, </w:t>
      </w:r>
      <w:r w:rsidRPr="00675843">
        <w:rPr>
          <w:rFonts w:ascii="Times New Roman" w:hAnsi="Times New Roman"/>
          <w:sz w:val="20"/>
          <w:szCs w:val="20"/>
          <w:vertAlign w:val="superscript"/>
          <w:lang w:val="en-MY"/>
        </w:rPr>
        <w:t>2</w:t>
      </w:r>
      <w:r w:rsidRPr="00675843">
        <w:rPr>
          <w:rFonts w:ascii="Times New Roman" w:hAnsi="Times New Roman"/>
          <w:sz w:val="20"/>
          <w:szCs w:val="20"/>
          <w:lang w:val="en-MY"/>
        </w:rPr>
        <w:t xml:space="preserve">Mohd </w:t>
      </w:r>
      <w:proofErr w:type="spellStart"/>
      <w:r w:rsidRPr="00675843">
        <w:rPr>
          <w:rFonts w:ascii="Times New Roman" w:hAnsi="Times New Roman"/>
          <w:sz w:val="20"/>
          <w:szCs w:val="20"/>
          <w:lang w:val="en-MY"/>
        </w:rPr>
        <w:t>Arman</w:t>
      </w:r>
      <w:proofErr w:type="spellEnd"/>
      <w:r w:rsidRPr="00675843">
        <w:rPr>
          <w:rFonts w:ascii="Times New Roman" w:hAnsi="Times New Roman"/>
          <w:sz w:val="20"/>
          <w:szCs w:val="20"/>
          <w:lang w:val="en-MY"/>
        </w:rPr>
        <w:t xml:space="preserve"> </w:t>
      </w:r>
      <w:proofErr w:type="spellStart"/>
      <w:r w:rsidRPr="00675843">
        <w:rPr>
          <w:rFonts w:ascii="Times New Roman" w:hAnsi="Times New Roman"/>
          <w:sz w:val="20"/>
          <w:szCs w:val="20"/>
          <w:lang w:val="en-MY"/>
        </w:rPr>
        <w:t>Kamaruddin</w:t>
      </w:r>
      <w:proofErr w:type="spellEnd"/>
      <w:r w:rsidRPr="00675843">
        <w:rPr>
          <w:rFonts w:ascii="Times New Roman" w:hAnsi="Times New Roman"/>
          <w:sz w:val="20"/>
          <w:szCs w:val="20"/>
          <w:lang w:val="en-MY"/>
        </w:rPr>
        <w:t xml:space="preserve">, </w:t>
      </w:r>
      <w:r w:rsidRPr="00675843">
        <w:rPr>
          <w:rFonts w:ascii="Times New Roman" w:hAnsi="Times New Roman"/>
          <w:sz w:val="20"/>
          <w:szCs w:val="20"/>
          <w:vertAlign w:val="superscript"/>
          <w:lang w:val="en-MY"/>
        </w:rPr>
        <w:t>2</w:t>
      </w:r>
      <w:r w:rsidRPr="00675843">
        <w:rPr>
          <w:rFonts w:ascii="Times New Roman" w:hAnsi="Times New Roman"/>
          <w:sz w:val="20"/>
          <w:szCs w:val="20"/>
          <w:lang w:val="en-MY"/>
        </w:rPr>
        <w:t xml:space="preserve">Nazihah </w:t>
      </w:r>
      <w:proofErr w:type="spellStart"/>
      <w:r w:rsidRPr="00675843">
        <w:rPr>
          <w:rFonts w:ascii="Times New Roman" w:hAnsi="Times New Roman"/>
          <w:sz w:val="20"/>
          <w:szCs w:val="20"/>
          <w:lang w:val="en-MY"/>
        </w:rPr>
        <w:t>Abd</w:t>
      </w:r>
      <w:proofErr w:type="spellEnd"/>
      <w:r w:rsidRPr="00675843">
        <w:rPr>
          <w:rFonts w:ascii="Times New Roman" w:hAnsi="Times New Roman"/>
          <w:sz w:val="20"/>
          <w:szCs w:val="20"/>
          <w:lang w:val="en-MY"/>
        </w:rPr>
        <w:t xml:space="preserve"> </w:t>
      </w:r>
      <w:proofErr w:type="spellStart"/>
      <w:r w:rsidRPr="00675843">
        <w:rPr>
          <w:rFonts w:ascii="Times New Roman" w:hAnsi="Times New Roman"/>
          <w:sz w:val="20"/>
          <w:szCs w:val="20"/>
          <w:lang w:val="en-MY"/>
        </w:rPr>
        <w:t>Jalal</w:t>
      </w:r>
      <w:proofErr w:type="spellEnd"/>
      <w:r w:rsidRPr="00675843">
        <w:rPr>
          <w:rFonts w:ascii="Times New Roman" w:hAnsi="Times New Roman"/>
          <w:sz w:val="20"/>
          <w:szCs w:val="20"/>
          <w:lang w:val="en-MY"/>
        </w:rPr>
        <w:t xml:space="preserve">, </w:t>
      </w:r>
      <w:r w:rsidRPr="00675843">
        <w:rPr>
          <w:rFonts w:ascii="Times New Roman" w:hAnsi="Times New Roman"/>
          <w:sz w:val="20"/>
          <w:szCs w:val="20"/>
          <w:vertAlign w:val="superscript"/>
          <w:lang w:val="en-MY"/>
        </w:rPr>
        <w:t>2</w:t>
      </w:r>
      <w:r w:rsidRPr="00675843">
        <w:rPr>
          <w:rFonts w:ascii="Times New Roman" w:hAnsi="Times New Roman"/>
          <w:sz w:val="20"/>
          <w:szCs w:val="20"/>
          <w:lang w:val="en-MY"/>
        </w:rPr>
        <w:t>Norliza Ismail</w:t>
      </w:r>
      <w:proofErr w:type="gramStart"/>
      <w:r w:rsidRPr="00675843">
        <w:rPr>
          <w:rFonts w:ascii="Times New Roman" w:hAnsi="Times New Roman"/>
          <w:sz w:val="20"/>
          <w:szCs w:val="20"/>
          <w:lang w:val="en-MY"/>
        </w:rPr>
        <w:t xml:space="preserve">,  </w:t>
      </w:r>
      <w:r w:rsidRPr="00675843">
        <w:rPr>
          <w:rFonts w:ascii="Times New Roman" w:hAnsi="Times New Roman"/>
          <w:sz w:val="20"/>
          <w:szCs w:val="20"/>
          <w:vertAlign w:val="superscript"/>
          <w:lang w:val="en-MY"/>
        </w:rPr>
        <w:t>2</w:t>
      </w:r>
      <w:r w:rsidRPr="00675843">
        <w:rPr>
          <w:rFonts w:ascii="Times New Roman" w:hAnsi="Times New Roman"/>
          <w:sz w:val="20"/>
          <w:szCs w:val="20"/>
          <w:lang w:val="en-MY"/>
        </w:rPr>
        <w:t>Muhiddin</w:t>
      </w:r>
      <w:proofErr w:type="gramEnd"/>
      <w:r w:rsidRPr="00675843">
        <w:rPr>
          <w:rFonts w:ascii="Times New Roman" w:hAnsi="Times New Roman"/>
          <w:sz w:val="20"/>
          <w:szCs w:val="20"/>
          <w:lang w:val="en-MY"/>
        </w:rPr>
        <w:t xml:space="preserve"> </w:t>
      </w:r>
      <w:proofErr w:type="spellStart"/>
      <w:r w:rsidRPr="00675843">
        <w:rPr>
          <w:rFonts w:ascii="Times New Roman" w:hAnsi="Times New Roman"/>
          <w:sz w:val="20"/>
          <w:szCs w:val="20"/>
          <w:lang w:val="en-MY"/>
        </w:rPr>
        <w:t>Ishak</w:t>
      </w:r>
      <w:proofErr w:type="spellEnd"/>
      <w:r w:rsidRPr="00675843">
        <w:rPr>
          <w:rFonts w:ascii="Times New Roman" w:hAnsi="Times New Roman"/>
          <w:sz w:val="20"/>
          <w:szCs w:val="20"/>
          <w:lang w:val="en-MY"/>
        </w:rPr>
        <w:t xml:space="preserve">, </w:t>
      </w:r>
      <w:r w:rsidRPr="00675843">
        <w:rPr>
          <w:rFonts w:ascii="Times New Roman" w:hAnsi="Times New Roman"/>
          <w:sz w:val="20"/>
          <w:szCs w:val="20"/>
          <w:vertAlign w:val="superscript"/>
          <w:lang w:val="en-MY"/>
        </w:rPr>
        <w:t>2</w:t>
      </w:r>
      <w:r w:rsidRPr="00675843">
        <w:rPr>
          <w:rFonts w:ascii="Times New Roman" w:hAnsi="Times New Roman"/>
          <w:sz w:val="20"/>
          <w:szCs w:val="20"/>
          <w:lang w:val="en-MY"/>
        </w:rPr>
        <w:t xml:space="preserve">Rahman Jamal, </w:t>
      </w:r>
      <w:r w:rsidRPr="00675843">
        <w:rPr>
          <w:rFonts w:ascii="Times New Roman" w:hAnsi="Times New Roman"/>
          <w:sz w:val="20"/>
          <w:szCs w:val="20"/>
          <w:vertAlign w:val="superscript"/>
          <w:lang w:val="en-MY"/>
        </w:rPr>
        <w:t>1,5</w:t>
      </w:r>
      <w:r w:rsidRPr="00675843">
        <w:rPr>
          <w:rFonts w:ascii="Times New Roman" w:hAnsi="Times New Roman"/>
          <w:sz w:val="20"/>
          <w:szCs w:val="20"/>
          <w:lang w:val="en-MY"/>
        </w:rPr>
        <w:t xml:space="preserve">Rodney J. Scott, </w:t>
      </w:r>
      <w:r w:rsidRPr="00675843">
        <w:rPr>
          <w:rFonts w:ascii="Times New Roman" w:hAnsi="Times New Roman"/>
          <w:sz w:val="20"/>
          <w:szCs w:val="20"/>
          <w:vertAlign w:val="superscript"/>
          <w:lang w:val="en-MY"/>
        </w:rPr>
        <w:t>3,4</w:t>
      </w:r>
      <w:r w:rsidRPr="00675843">
        <w:rPr>
          <w:rFonts w:ascii="Times New Roman" w:hAnsi="Times New Roman"/>
          <w:sz w:val="20"/>
          <w:szCs w:val="20"/>
          <w:lang w:val="en-MY"/>
        </w:rPr>
        <w:t>Elizabeth G. Holliday*</w:t>
      </w:r>
    </w:p>
    <w:p w:rsidR="006501D2" w:rsidRPr="007F3A61" w:rsidRDefault="006501D2" w:rsidP="006501D2">
      <w:pPr>
        <w:shd w:val="clear" w:color="auto" w:fill="FFFFFF"/>
        <w:spacing w:before="10" w:after="10" w:line="240" w:lineRule="auto"/>
        <w:ind w:left="720" w:right="720"/>
        <w:jc w:val="center"/>
        <w:textAlignment w:val="baseline"/>
        <w:rPr>
          <w:rFonts w:ascii="Times New Roman" w:eastAsia="Times New Roman" w:hAnsi="Times New Roman"/>
          <w:i/>
          <w:sz w:val="24"/>
          <w:szCs w:val="16"/>
        </w:rPr>
      </w:pPr>
    </w:p>
    <w:p w:rsidR="006501D2" w:rsidRPr="00675843" w:rsidRDefault="006501D2" w:rsidP="006501D2">
      <w:pPr>
        <w:shd w:val="clear" w:color="auto" w:fill="FFFFFF"/>
        <w:spacing w:before="10" w:after="10" w:line="240" w:lineRule="auto"/>
        <w:ind w:left="720" w:right="720"/>
        <w:jc w:val="center"/>
        <w:textAlignment w:val="baseline"/>
        <w:rPr>
          <w:rFonts w:ascii="Times New Roman" w:eastAsia="Times New Roman" w:hAnsi="Times New Roman"/>
          <w:i/>
          <w:sz w:val="16"/>
          <w:szCs w:val="16"/>
        </w:rPr>
      </w:pPr>
      <w:proofErr w:type="gramStart"/>
      <w:r w:rsidRPr="00675843">
        <w:rPr>
          <w:rFonts w:ascii="Times New Roman" w:eastAsia="Times New Roman" w:hAnsi="Times New Roman"/>
          <w:i/>
          <w:sz w:val="16"/>
          <w:szCs w:val="16"/>
          <w:vertAlign w:val="superscript"/>
        </w:rPr>
        <w:t>1</w:t>
      </w:r>
      <w:r w:rsidRPr="00675843">
        <w:rPr>
          <w:rFonts w:ascii="Times New Roman" w:eastAsia="Times New Roman" w:hAnsi="Times New Roman"/>
          <w:i/>
          <w:sz w:val="16"/>
          <w:szCs w:val="16"/>
        </w:rPr>
        <w:t>School of Biomedical Sciences and Pharmacy, Faculty of Health, University of Newcastle, Newcastle, New South Wales, Australia.</w:t>
      </w:r>
      <w:proofErr w:type="gramEnd"/>
      <w:r w:rsidRPr="00675843">
        <w:rPr>
          <w:rFonts w:ascii="Times New Roman" w:eastAsia="Times New Roman" w:hAnsi="Times New Roman"/>
          <w:i/>
          <w:sz w:val="16"/>
          <w:szCs w:val="16"/>
        </w:rPr>
        <w:t xml:space="preserve"> </w:t>
      </w:r>
      <w:r w:rsidRPr="00675843">
        <w:rPr>
          <w:rFonts w:ascii="Times New Roman" w:eastAsia="Times New Roman" w:hAnsi="Times New Roman"/>
          <w:i/>
          <w:sz w:val="16"/>
          <w:szCs w:val="16"/>
          <w:vertAlign w:val="superscript"/>
        </w:rPr>
        <w:t>2</w:t>
      </w:r>
      <w:r w:rsidRPr="00675843">
        <w:rPr>
          <w:rFonts w:ascii="Times New Roman" w:eastAsia="Times New Roman" w:hAnsi="Times New Roman"/>
          <w:i/>
          <w:sz w:val="16"/>
          <w:szCs w:val="16"/>
        </w:rPr>
        <w:t xml:space="preserve">UKM Medical Molecular Biology Institute (UMBI), </w:t>
      </w:r>
      <w:proofErr w:type="spellStart"/>
      <w:r w:rsidRPr="00675843">
        <w:rPr>
          <w:rFonts w:ascii="Times New Roman" w:eastAsia="Times New Roman" w:hAnsi="Times New Roman"/>
          <w:i/>
          <w:sz w:val="16"/>
          <w:szCs w:val="16"/>
        </w:rPr>
        <w:t>Universiti</w:t>
      </w:r>
      <w:proofErr w:type="spellEnd"/>
      <w:r w:rsidRPr="00675843">
        <w:rPr>
          <w:rFonts w:ascii="Times New Roman" w:eastAsia="Times New Roman" w:hAnsi="Times New Roman"/>
          <w:i/>
          <w:sz w:val="16"/>
          <w:szCs w:val="16"/>
        </w:rPr>
        <w:t xml:space="preserve"> </w:t>
      </w:r>
      <w:proofErr w:type="spellStart"/>
      <w:r w:rsidRPr="00675843">
        <w:rPr>
          <w:rFonts w:ascii="Times New Roman" w:eastAsia="Times New Roman" w:hAnsi="Times New Roman"/>
          <w:i/>
          <w:sz w:val="16"/>
          <w:szCs w:val="16"/>
        </w:rPr>
        <w:t>Kebangsaan</w:t>
      </w:r>
      <w:proofErr w:type="spellEnd"/>
      <w:r w:rsidRPr="00675843">
        <w:rPr>
          <w:rFonts w:ascii="Times New Roman" w:eastAsia="Times New Roman" w:hAnsi="Times New Roman"/>
          <w:i/>
          <w:sz w:val="16"/>
          <w:szCs w:val="16"/>
        </w:rPr>
        <w:t xml:space="preserve"> Malaysia, Kuala Lumpur, Malaysia. </w:t>
      </w:r>
      <w:proofErr w:type="gramStart"/>
      <w:r w:rsidRPr="00675843">
        <w:rPr>
          <w:rFonts w:ascii="Times New Roman" w:eastAsia="Times New Roman" w:hAnsi="Times New Roman"/>
          <w:i/>
          <w:sz w:val="16"/>
          <w:szCs w:val="16"/>
          <w:vertAlign w:val="superscript"/>
        </w:rPr>
        <w:t>3</w:t>
      </w:r>
      <w:r w:rsidRPr="00675843">
        <w:rPr>
          <w:rFonts w:ascii="Times New Roman" w:eastAsia="Times New Roman" w:hAnsi="Times New Roman"/>
          <w:i/>
          <w:sz w:val="16"/>
          <w:szCs w:val="16"/>
        </w:rPr>
        <w:t>Clinical Research Design, IT and Statistical Support (</w:t>
      </w:r>
      <w:proofErr w:type="spellStart"/>
      <w:r w:rsidRPr="00675843">
        <w:rPr>
          <w:rFonts w:ascii="Times New Roman" w:eastAsia="Times New Roman" w:hAnsi="Times New Roman"/>
          <w:i/>
          <w:sz w:val="16"/>
          <w:szCs w:val="16"/>
        </w:rPr>
        <w:t>CReDITSS</w:t>
      </w:r>
      <w:proofErr w:type="spellEnd"/>
      <w:r w:rsidRPr="00675843">
        <w:rPr>
          <w:rFonts w:ascii="Times New Roman" w:eastAsia="Times New Roman" w:hAnsi="Times New Roman"/>
          <w:i/>
          <w:sz w:val="16"/>
          <w:szCs w:val="16"/>
        </w:rPr>
        <w:t>) Unit, Hunter Medical Research Institute, Newcastle, New South Wales, Australia.</w:t>
      </w:r>
      <w:proofErr w:type="gramEnd"/>
      <w:r w:rsidRPr="00675843">
        <w:rPr>
          <w:rFonts w:ascii="Times New Roman" w:eastAsia="Times New Roman" w:hAnsi="Times New Roman"/>
          <w:i/>
          <w:sz w:val="16"/>
          <w:szCs w:val="16"/>
        </w:rPr>
        <w:t xml:space="preserve"> </w:t>
      </w:r>
      <w:r w:rsidRPr="00675843">
        <w:rPr>
          <w:rFonts w:ascii="Times New Roman" w:eastAsia="Times New Roman" w:hAnsi="Times New Roman"/>
          <w:i/>
          <w:sz w:val="16"/>
          <w:szCs w:val="16"/>
          <w:vertAlign w:val="superscript"/>
        </w:rPr>
        <w:t>4</w:t>
      </w:r>
      <w:r w:rsidRPr="00675843">
        <w:rPr>
          <w:rFonts w:ascii="Times New Roman" w:eastAsia="Times New Roman" w:hAnsi="Times New Roman"/>
          <w:i/>
          <w:sz w:val="16"/>
          <w:szCs w:val="16"/>
        </w:rPr>
        <w:t xml:space="preserve">Centre for Clinical Epidemiology and Biostatistics, School of Medicine and Public Health, Faculty of Health, University of Newcastle, Newcastle, New South Wales, Australia </w:t>
      </w:r>
      <w:r w:rsidRPr="00675843">
        <w:rPr>
          <w:rFonts w:ascii="Times New Roman" w:eastAsia="Times New Roman" w:hAnsi="Times New Roman"/>
          <w:i/>
          <w:sz w:val="16"/>
          <w:szCs w:val="16"/>
          <w:vertAlign w:val="superscript"/>
        </w:rPr>
        <w:t>5</w:t>
      </w:r>
      <w:r w:rsidRPr="00675843">
        <w:rPr>
          <w:rFonts w:ascii="Times New Roman" w:eastAsia="Times New Roman" w:hAnsi="Times New Roman"/>
          <w:i/>
          <w:sz w:val="16"/>
          <w:szCs w:val="16"/>
        </w:rPr>
        <w:t>Hunter Area Pathology Service, John Hunter Hospital, Newcastle, New South Wales, Australia</w:t>
      </w:r>
    </w:p>
    <w:p w:rsidR="006501D2" w:rsidRPr="00675843" w:rsidRDefault="006501D2" w:rsidP="006501D2">
      <w:pPr>
        <w:shd w:val="clear" w:color="auto" w:fill="FFFFFF"/>
        <w:spacing w:before="10" w:after="10" w:line="240" w:lineRule="auto"/>
        <w:ind w:left="720" w:right="720"/>
        <w:jc w:val="center"/>
        <w:textAlignment w:val="baseline"/>
        <w:rPr>
          <w:rFonts w:ascii="Times New Roman" w:eastAsia="Times New Roman" w:hAnsi="Times New Roman"/>
          <w:i/>
          <w:sz w:val="24"/>
          <w:szCs w:val="16"/>
        </w:rPr>
      </w:pPr>
    </w:p>
    <w:p w:rsidR="006501D2" w:rsidRDefault="006501D2" w:rsidP="006501D2">
      <w:pPr>
        <w:spacing w:before="10" w:after="10" w:line="240" w:lineRule="auto"/>
        <w:ind w:left="720" w:right="720"/>
        <w:jc w:val="center"/>
        <w:rPr>
          <w:rFonts w:ascii="Times New Roman" w:hAnsi="Times New Roman"/>
          <w:b/>
          <w:sz w:val="24"/>
          <w:szCs w:val="24"/>
          <w:lang w:val="en-MY"/>
        </w:rPr>
      </w:pPr>
      <w:r w:rsidRPr="00E01D5A">
        <w:rPr>
          <w:rFonts w:ascii="Times New Roman" w:hAnsi="Times New Roman"/>
          <w:b/>
          <w:sz w:val="24"/>
          <w:szCs w:val="24"/>
          <w:lang w:val="en-MY"/>
        </w:rPr>
        <w:t>ABSTRACT</w:t>
      </w:r>
    </w:p>
    <w:p w:rsidR="006501D2" w:rsidRDefault="006501D2" w:rsidP="006501D2">
      <w:pPr>
        <w:spacing w:before="10" w:after="10" w:line="240" w:lineRule="auto"/>
        <w:ind w:left="720" w:right="720"/>
        <w:jc w:val="center"/>
        <w:rPr>
          <w:rFonts w:ascii="Times New Roman" w:hAnsi="Times New Roman"/>
          <w:b/>
          <w:sz w:val="24"/>
          <w:szCs w:val="24"/>
          <w:lang w:val="en-MY"/>
        </w:rPr>
      </w:pPr>
    </w:p>
    <w:p w:rsidR="005F50B0" w:rsidRPr="006501D2" w:rsidRDefault="006501D2" w:rsidP="006501D2">
      <w:r w:rsidRPr="00675843">
        <w:rPr>
          <w:rFonts w:ascii="Times New Roman" w:hAnsi="Times New Roman"/>
          <w:sz w:val="24"/>
          <w:szCs w:val="24"/>
          <w:lang w:val="en-MY"/>
        </w:rPr>
        <w:t xml:space="preserve">Although numerous epidemiological studies have been conducted in various populations, the Malaysian society remains relatively understudied to date, despite having a relatively high prevalence of type </w:t>
      </w:r>
      <w:proofErr w:type="gramStart"/>
      <w:r w:rsidRPr="00675843">
        <w:rPr>
          <w:rFonts w:ascii="Times New Roman" w:hAnsi="Times New Roman"/>
          <w:sz w:val="24"/>
          <w:szCs w:val="24"/>
          <w:lang w:val="en-MY"/>
        </w:rPr>
        <w:t>2 diabetes</w:t>
      </w:r>
      <w:proofErr w:type="gramEnd"/>
      <w:r w:rsidRPr="00675843">
        <w:rPr>
          <w:rFonts w:ascii="Times New Roman" w:hAnsi="Times New Roman"/>
          <w:sz w:val="24"/>
          <w:szCs w:val="24"/>
          <w:lang w:val="en-MY"/>
        </w:rPr>
        <w:t xml:space="preserve"> among Asian countries.  Utilising the same samples from 1,604 Malays, 1,654 Chinese and 1,728 Indians, a total of 62 individual candidate single nucleotide polymorphisms (SNPs) previously associated with type 2 diabetes and the effects of environmental (non-genetic, or lifestyle) risk factors were assessed. After </w:t>
      </w:r>
      <w:proofErr w:type="spellStart"/>
      <w:r w:rsidRPr="00675843">
        <w:rPr>
          <w:rFonts w:ascii="Times New Roman" w:hAnsi="Times New Roman"/>
          <w:sz w:val="24"/>
          <w:szCs w:val="24"/>
          <w:lang w:val="en-MY"/>
        </w:rPr>
        <w:t>Bonferroni</w:t>
      </w:r>
      <w:proofErr w:type="spellEnd"/>
      <w:r w:rsidRPr="00675843">
        <w:rPr>
          <w:rFonts w:ascii="Times New Roman" w:hAnsi="Times New Roman"/>
          <w:sz w:val="24"/>
          <w:szCs w:val="24"/>
          <w:lang w:val="en-MY"/>
        </w:rPr>
        <w:t xml:space="preserve"> correction, seven (7) individual SNPs showed association with type 2 diabetes in Malaysian sample. The genetic risk score showed strong association with type 2 diabetes but the genetic risk score explained only 1.0 to 1.7% of total risk variance. In contrast, four non-genetic risk factors, age, gender, waist-to-hip ratio and physical inactivity, accounted for about 20% of total type 2 diabetes risk variation in the Malaysian samples. The effect of increasing waist-to-hip ratio was higher in Chinese than Indian or Malay participants, suggesting anthropometric risk differences between groups. We found some evidence for gene by environment effect modification, with the genetic risk score showing a gradient of decreasing effect sizes across increasing strata of body mass index. Taken together, these studies suggest that environmental, rather than genetic risk factors are the major contributors to the epidemic of type 2 diabetes in Malaysia. Our findings have some public health significance in relation to mitigating type 2 diabetes risk in Malaysia. First, these findings may inform targeted interventions focussing on abdominal obesity, especially in Chinese Malaysians. Second, these results suggest a need for the development of ethnicity-specific anthropometric cut-point. Third, these findings suggest a relatively greater contribution of genetic factors to disease among lean individuals. Future studies in larger samples could further clarify the respective roles of genetic and environmental risk factors to disease, and inform personalised interventions.</w:t>
      </w:r>
    </w:p>
    <w:sectPr w:rsidR="005F50B0" w:rsidRPr="006501D2"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0E66E1"/>
    <w:rsid w:val="00155043"/>
    <w:rsid w:val="00174815"/>
    <w:rsid w:val="00220522"/>
    <w:rsid w:val="00267BB4"/>
    <w:rsid w:val="00272285"/>
    <w:rsid w:val="00284F61"/>
    <w:rsid w:val="002B4529"/>
    <w:rsid w:val="0030792F"/>
    <w:rsid w:val="0031265B"/>
    <w:rsid w:val="00377C06"/>
    <w:rsid w:val="003B6316"/>
    <w:rsid w:val="003F11C2"/>
    <w:rsid w:val="00424759"/>
    <w:rsid w:val="004B7E69"/>
    <w:rsid w:val="00595C94"/>
    <w:rsid w:val="005B184C"/>
    <w:rsid w:val="005D2624"/>
    <w:rsid w:val="005F50B0"/>
    <w:rsid w:val="006501D2"/>
    <w:rsid w:val="0068052D"/>
    <w:rsid w:val="006C3EB3"/>
    <w:rsid w:val="006D65D6"/>
    <w:rsid w:val="006E3576"/>
    <w:rsid w:val="00705D6A"/>
    <w:rsid w:val="00764AD8"/>
    <w:rsid w:val="0078613A"/>
    <w:rsid w:val="007A3501"/>
    <w:rsid w:val="007C0633"/>
    <w:rsid w:val="0086554A"/>
    <w:rsid w:val="00867291"/>
    <w:rsid w:val="008D0F2B"/>
    <w:rsid w:val="00982060"/>
    <w:rsid w:val="009B774D"/>
    <w:rsid w:val="009F7EC8"/>
    <w:rsid w:val="00A24E8D"/>
    <w:rsid w:val="00A76F2C"/>
    <w:rsid w:val="00B96695"/>
    <w:rsid w:val="00BE69F8"/>
    <w:rsid w:val="00C24664"/>
    <w:rsid w:val="00CB2085"/>
    <w:rsid w:val="00D87788"/>
    <w:rsid w:val="00D95844"/>
    <w:rsid w:val="00E55C30"/>
    <w:rsid w:val="00EC2558"/>
    <w:rsid w:val="00EC6FB1"/>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copy">
    <w:name w:val="copy"/>
    <w:rsid w:val="00A76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2017-11-08T06:37:00Z</dcterms:created>
  <dcterms:modified xsi:type="dcterms:W3CDTF">2017-11-08T06:37:00Z</dcterms:modified>
</cp:coreProperties>
</file>