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26" w:rsidRPr="00E01D5A" w:rsidRDefault="00236C26" w:rsidP="00236C26">
      <w:pPr>
        <w:spacing w:before="10" w:after="10" w:line="240" w:lineRule="auto"/>
        <w:ind w:left="720" w:right="720"/>
        <w:contextualSpacing/>
        <w:jc w:val="right"/>
        <w:rPr>
          <w:rFonts w:ascii="Times New Roman" w:hAnsi="Times New Roman"/>
          <w:b/>
        </w:rPr>
      </w:pPr>
      <w:r w:rsidRPr="00E01D5A">
        <w:rPr>
          <w:rFonts w:ascii="Times New Roman" w:hAnsi="Times New Roman"/>
          <w:b/>
        </w:rPr>
        <w:t>P30</w:t>
      </w:r>
    </w:p>
    <w:p w:rsidR="00236C26" w:rsidRPr="00E01D5A" w:rsidRDefault="00236C26" w:rsidP="00236C26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i/>
          <w:iCs/>
          <w:sz w:val="18"/>
          <w:szCs w:val="18"/>
        </w:rPr>
        <w:t>Asia-Pacific Journal of Molecular Medicine 2017, 7 (SUPP 1)</w:t>
      </w:r>
    </w:p>
    <w:p w:rsidR="00236C26" w:rsidRPr="00E01D5A" w:rsidRDefault="00236C26" w:rsidP="00236C26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>Abstracts for 7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Regional Conference on Molecular Medicine (RCMM)</w:t>
      </w:r>
    </w:p>
    <w:p w:rsidR="00236C26" w:rsidRPr="00E01D5A" w:rsidRDefault="00236C26" w:rsidP="00236C26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gramStart"/>
      <w:r w:rsidRPr="00E01D5A">
        <w:rPr>
          <w:rFonts w:ascii="Times New Roman" w:hAnsi="Times New Roman"/>
          <w:b/>
          <w:iCs/>
          <w:sz w:val="18"/>
          <w:szCs w:val="18"/>
        </w:rPr>
        <w:t>in</w:t>
      </w:r>
      <w:proofErr w:type="gramEnd"/>
      <w:r w:rsidRPr="00E01D5A">
        <w:rPr>
          <w:rFonts w:ascii="Times New Roman" w:hAnsi="Times New Roman"/>
          <w:b/>
          <w:iCs/>
          <w:sz w:val="18"/>
          <w:szCs w:val="18"/>
        </w:rPr>
        <w:t xml:space="preserve"> Conjunction with 3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rd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National Conference for Cancer Research 2017</w:t>
      </w:r>
    </w:p>
    <w:p w:rsidR="00236C26" w:rsidRPr="00E01D5A" w:rsidRDefault="00236C26" w:rsidP="00236C26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  <w:r w:rsidRPr="00E01D5A">
        <w:rPr>
          <w:rFonts w:ascii="Times New Roman" w:hAnsi="Times New Roman"/>
          <w:b/>
          <w:sz w:val="18"/>
          <w:szCs w:val="18"/>
        </w:rPr>
        <w:t>10-1</w:t>
      </w:r>
      <w:r w:rsidRPr="00E01D5A">
        <w:rPr>
          <w:rFonts w:ascii="Times New Roman" w:hAnsi="Times New Roman" w:hint="eastAsia"/>
          <w:b/>
          <w:sz w:val="18"/>
          <w:szCs w:val="18"/>
        </w:rPr>
        <w:t>2</w:t>
      </w:r>
      <w:r w:rsidRPr="00E01D5A">
        <w:rPr>
          <w:rFonts w:ascii="Times New Roman" w:hAnsi="Times New Roman"/>
          <w:b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sz w:val="18"/>
          <w:szCs w:val="18"/>
        </w:rPr>
        <w:t xml:space="preserve"> November 2017, Auditorium UMBI, Kuala Lumpur</w:t>
      </w:r>
    </w:p>
    <w:p w:rsidR="00236C26" w:rsidRPr="00E01D5A" w:rsidRDefault="00236C26" w:rsidP="00236C26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236C26" w:rsidRPr="00E01D5A" w:rsidRDefault="00236C26" w:rsidP="00236C26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236C26" w:rsidRPr="00E01D5A" w:rsidRDefault="00236C26" w:rsidP="00236C26">
      <w:pPr>
        <w:snapToGrid w:val="0"/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bookmarkStart w:id="0" w:name="OLE_LINK1"/>
      <w:bookmarkStart w:id="1" w:name="OLE_LINK2"/>
      <w:r w:rsidRPr="00EA63C2">
        <w:rPr>
          <w:rFonts w:ascii="Times New Roman" w:eastAsia="Times New Roman" w:hAnsi="Times New Roman"/>
          <w:b/>
          <w:sz w:val="24"/>
          <w:szCs w:val="24"/>
          <w:lang w:val="en-MY" w:eastAsia="zh-CN"/>
        </w:rPr>
        <w:t>Combination of MCL-1 Selective Inhibitor A-1210477 and BH3-mimetic ABT-263 exhibit synergistic anti-proliferative effect on cervical cancer cell lines</w:t>
      </w:r>
    </w:p>
    <w:p w:rsidR="00236C26" w:rsidRPr="00E01D5A" w:rsidRDefault="00236C26" w:rsidP="00236C26">
      <w:pPr>
        <w:snapToGrid w:val="0"/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36C26" w:rsidRDefault="00236C26" w:rsidP="00236C26">
      <w:pPr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 xml:space="preserve">*1Abdul </w:t>
      </w:r>
      <w:proofErr w:type="spellStart"/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>Rahman</w:t>
      </w:r>
      <w:proofErr w:type="spellEnd"/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 xml:space="preserve">, </w:t>
      </w:r>
      <w:proofErr w:type="spellStart"/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>Siti</w:t>
      </w:r>
      <w:proofErr w:type="spellEnd"/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proofErr w:type="spellStart"/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>Fairus</w:t>
      </w:r>
      <w:proofErr w:type="spellEnd"/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 xml:space="preserve">; 1Yek, Angeline En </w:t>
      </w:r>
      <w:proofErr w:type="spellStart"/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>Hui</w:t>
      </w:r>
      <w:proofErr w:type="spellEnd"/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 xml:space="preserve">, 1Shuvas, </w:t>
      </w:r>
      <w:proofErr w:type="spellStart"/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>Hemalata</w:t>
      </w:r>
      <w:proofErr w:type="spellEnd"/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 xml:space="preserve">, 1Lian, Benedict Shi Xiang, 1Mohana-Kumaran, </w:t>
      </w:r>
      <w:proofErr w:type="spellStart"/>
      <w:r w:rsidRPr="00EA63C2">
        <w:rPr>
          <w:rFonts w:ascii="Times New Roman" w:eastAsia="Times New Roman" w:hAnsi="Times New Roman"/>
          <w:sz w:val="20"/>
          <w:szCs w:val="20"/>
          <w:lang w:eastAsia="zh-CN"/>
        </w:rPr>
        <w:t>Nethia</w:t>
      </w:r>
      <w:proofErr w:type="spellEnd"/>
    </w:p>
    <w:p w:rsidR="00236C26" w:rsidRPr="00EA63C2" w:rsidRDefault="00236C26" w:rsidP="00236C26">
      <w:pPr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sz w:val="24"/>
          <w:szCs w:val="20"/>
          <w:lang w:eastAsia="zh-CN"/>
        </w:rPr>
      </w:pPr>
    </w:p>
    <w:p w:rsidR="00236C26" w:rsidRDefault="00236C26" w:rsidP="00236C26">
      <w:pPr>
        <w:snapToGrid w:val="0"/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i/>
          <w:sz w:val="16"/>
          <w:szCs w:val="16"/>
          <w:lang w:eastAsia="zh-CN"/>
        </w:rPr>
      </w:pPr>
      <w:r w:rsidRPr="00EA63C2">
        <w:rPr>
          <w:rFonts w:ascii="Times New Roman" w:eastAsia="Times New Roman" w:hAnsi="Times New Roman"/>
          <w:i/>
          <w:sz w:val="16"/>
          <w:szCs w:val="16"/>
          <w:lang w:eastAsia="zh-CN"/>
        </w:rPr>
        <w:t xml:space="preserve">1School of Biological Sciences, </w:t>
      </w:r>
      <w:proofErr w:type="spellStart"/>
      <w:r w:rsidRPr="00EA63C2">
        <w:rPr>
          <w:rFonts w:ascii="Times New Roman" w:eastAsia="Times New Roman" w:hAnsi="Times New Roman"/>
          <w:i/>
          <w:sz w:val="16"/>
          <w:szCs w:val="16"/>
          <w:lang w:eastAsia="zh-CN"/>
        </w:rPr>
        <w:t>Universiti</w:t>
      </w:r>
      <w:proofErr w:type="spellEnd"/>
      <w:r w:rsidRPr="00EA63C2">
        <w:rPr>
          <w:rFonts w:ascii="Times New Roman" w:eastAsia="Times New Roman" w:hAnsi="Times New Roman"/>
          <w:i/>
          <w:sz w:val="16"/>
          <w:szCs w:val="16"/>
          <w:lang w:eastAsia="zh-CN"/>
        </w:rPr>
        <w:t xml:space="preserve"> </w:t>
      </w:r>
      <w:proofErr w:type="spellStart"/>
      <w:r w:rsidRPr="00EA63C2">
        <w:rPr>
          <w:rFonts w:ascii="Times New Roman" w:eastAsia="Times New Roman" w:hAnsi="Times New Roman"/>
          <w:i/>
          <w:sz w:val="16"/>
          <w:szCs w:val="16"/>
          <w:lang w:eastAsia="zh-CN"/>
        </w:rPr>
        <w:t>Sains</w:t>
      </w:r>
      <w:proofErr w:type="spellEnd"/>
      <w:r w:rsidRPr="00EA63C2">
        <w:rPr>
          <w:rFonts w:ascii="Times New Roman" w:eastAsia="Times New Roman" w:hAnsi="Times New Roman"/>
          <w:i/>
          <w:sz w:val="16"/>
          <w:szCs w:val="16"/>
          <w:lang w:eastAsia="zh-CN"/>
        </w:rPr>
        <w:t xml:space="preserve"> Malaysia, Penang, Malaysia</w:t>
      </w:r>
    </w:p>
    <w:p w:rsidR="00236C26" w:rsidRPr="00EA63C2" w:rsidRDefault="00236C26" w:rsidP="00236C26">
      <w:pPr>
        <w:snapToGrid w:val="0"/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i/>
          <w:sz w:val="24"/>
          <w:szCs w:val="16"/>
          <w:lang w:eastAsia="zh-CN"/>
        </w:rPr>
      </w:pPr>
    </w:p>
    <w:p w:rsidR="00236C26" w:rsidRDefault="00236C26" w:rsidP="00236C26">
      <w:pPr>
        <w:snapToGrid w:val="0"/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01D5A">
        <w:rPr>
          <w:rFonts w:ascii="Times New Roman" w:eastAsia="Times New Roman" w:hAnsi="Times New Roman"/>
          <w:b/>
          <w:sz w:val="24"/>
          <w:szCs w:val="24"/>
          <w:lang w:eastAsia="zh-CN"/>
        </w:rPr>
        <w:t>ABSTRACT</w:t>
      </w:r>
    </w:p>
    <w:p w:rsidR="00236C26" w:rsidRDefault="00236C26" w:rsidP="00236C26">
      <w:pPr>
        <w:snapToGrid w:val="0"/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236C26" w:rsidRPr="00E01D5A" w:rsidRDefault="00236C26" w:rsidP="00236C26">
      <w:pPr>
        <w:snapToGrid w:val="0"/>
        <w:spacing w:before="10" w:after="10" w:line="240" w:lineRule="auto"/>
        <w:ind w:left="720" w:right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bookmarkEnd w:id="0"/>
    <w:bookmarkEnd w:id="1"/>
    <w:p w:rsidR="00236C26" w:rsidRPr="00EA63C2" w:rsidRDefault="00236C26" w:rsidP="00236C26">
      <w:pPr>
        <w:spacing w:before="10" w:after="10" w:line="240" w:lineRule="auto"/>
        <w:ind w:left="720" w:righ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Anti-apoptotic proteins are expressed in many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tumours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and hence have become attractive targets for cancer therapy. The interest to target them increased with development of BH3-mimetics, which specifically target these proteins. BH3 mimetic ABT-263 is a small molecule inhibitor of anti-apoptotic proteins BCL-2, BCL-XL and BCL-w while A-1210477 is the selective inhibitor of MCL-1. Pre-clinical studies have reported that ABT-263 demonstrated impressive single agent activity in hematological tumors and small cell lung carcinoma (SCLC) but not in most solid tumors. Studies have shown that the sensitivity to ABT-263 rely on the expression MCL-1. Thus, the down regulation or neutralization of MCL-1 is predicted to sensitize cells to ABT-263. The aim of the study is to investigate the sensitivity of the cervical cancer cell lines to combination of ABT-263 and A-1210477. The cervical cancer cell lines,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SiHa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, C33A,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HeLa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and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CaSki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were treated with ABT-263 and A-1210477, either alone or in combination. All the cell lines were treated with increasing concentrations of ABT-263 or A-1210477 (0-32µM) or combination of ABT-263 and A-1210477 at 1:1 drug concentration ratios. Cell proliferation was assessed using the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Sybr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Green I assay. The combination of MCL-1 selective inhibitor A-1210477 (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AbbVie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) and ABT-263 (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Navitoclax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AbbVie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) exhibited synergistic effects on cervical cancer cell lines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SiHa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, C33A,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CaSki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and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HeLa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. Furthermore, drug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potentiation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studies revealed that A-1210477 potentiated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SiHa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and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CaSki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to ABT-263 by 5- and 11-fold respectively. The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potentiation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in the opposite direction showed that ABT-263 was able to potentiate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SiHa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and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CaSki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to A-1210477 by 8-fold. Together these findings show that combination of ABT-263 and A-1210477 could be a potential treatment strategy for cervical cancer. Future studies, which involve testing this combination in 3D spheroids and </w:t>
      </w:r>
      <w:proofErr w:type="spellStart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>xenograft</w:t>
      </w:r>
      <w:proofErr w:type="spellEnd"/>
      <w:r w:rsidRPr="00EA63C2">
        <w:rPr>
          <w:rFonts w:ascii="Times New Roman" w:eastAsia="Times New Roman" w:hAnsi="Times New Roman"/>
          <w:sz w:val="24"/>
          <w:szCs w:val="24"/>
          <w:lang w:eastAsia="zh-CN"/>
        </w:rPr>
        <w:t xml:space="preserve"> models, are necessary to fully unleash the prospect of this combination to combat cervical cancer.</w:t>
      </w:r>
    </w:p>
    <w:p w:rsidR="005F50B0" w:rsidRPr="00236C26" w:rsidRDefault="005F50B0" w:rsidP="00236C26"/>
    <w:sectPr w:rsidR="005F50B0" w:rsidRPr="00236C26" w:rsidSect="005F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792F"/>
    <w:rsid w:val="00010CFA"/>
    <w:rsid w:val="00082DA1"/>
    <w:rsid w:val="000E66E1"/>
    <w:rsid w:val="00155043"/>
    <w:rsid w:val="00174815"/>
    <w:rsid w:val="00220522"/>
    <w:rsid w:val="00236C26"/>
    <w:rsid w:val="00267BB4"/>
    <w:rsid w:val="00272285"/>
    <w:rsid w:val="00284F61"/>
    <w:rsid w:val="002B4529"/>
    <w:rsid w:val="0030792F"/>
    <w:rsid w:val="0031265B"/>
    <w:rsid w:val="00377C06"/>
    <w:rsid w:val="003B6316"/>
    <w:rsid w:val="003F11C2"/>
    <w:rsid w:val="00424759"/>
    <w:rsid w:val="004B7E69"/>
    <w:rsid w:val="00595C94"/>
    <w:rsid w:val="005B184C"/>
    <w:rsid w:val="005D2624"/>
    <w:rsid w:val="005F50B0"/>
    <w:rsid w:val="006501D2"/>
    <w:rsid w:val="0068052D"/>
    <w:rsid w:val="006C3EB3"/>
    <w:rsid w:val="006D65D6"/>
    <w:rsid w:val="006E3576"/>
    <w:rsid w:val="00705D6A"/>
    <w:rsid w:val="00764AD8"/>
    <w:rsid w:val="0078613A"/>
    <w:rsid w:val="007A3501"/>
    <w:rsid w:val="007C0633"/>
    <w:rsid w:val="0086554A"/>
    <w:rsid w:val="00867291"/>
    <w:rsid w:val="008D0F2B"/>
    <w:rsid w:val="00982060"/>
    <w:rsid w:val="009B774D"/>
    <w:rsid w:val="009F7EC8"/>
    <w:rsid w:val="00A24E8D"/>
    <w:rsid w:val="00A76F2C"/>
    <w:rsid w:val="00B96695"/>
    <w:rsid w:val="00BE69F8"/>
    <w:rsid w:val="00C24664"/>
    <w:rsid w:val="00CB2085"/>
    <w:rsid w:val="00D87788"/>
    <w:rsid w:val="00D95844"/>
    <w:rsid w:val="00E55C30"/>
    <w:rsid w:val="00EC2558"/>
    <w:rsid w:val="00EC6FB1"/>
    <w:rsid w:val="00E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2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0C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copy">
    <w:name w:val="copy"/>
    <w:rsid w:val="00A76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 ZAZMIR</dc:creator>
  <cp:lastModifiedBy>L7 ZAZMIR</cp:lastModifiedBy>
  <cp:revision>2</cp:revision>
  <dcterms:created xsi:type="dcterms:W3CDTF">2017-11-08T06:37:00Z</dcterms:created>
  <dcterms:modified xsi:type="dcterms:W3CDTF">2017-11-08T06:37:00Z</dcterms:modified>
</cp:coreProperties>
</file>