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FA" w:rsidRPr="00E01D5A" w:rsidRDefault="00010CFA" w:rsidP="00010CFA">
      <w:pPr>
        <w:pStyle w:val="Default"/>
        <w:spacing w:before="10" w:after="10"/>
        <w:ind w:left="720" w:right="720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01D5A">
        <w:rPr>
          <w:rFonts w:ascii="Times New Roman" w:hAnsi="Times New Roman" w:cs="Times New Roman"/>
          <w:b/>
          <w:color w:val="auto"/>
          <w:sz w:val="22"/>
          <w:szCs w:val="22"/>
        </w:rPr>
        <w:t>P7</w:t>
      </w:r>
    </w:p>
    <w:p w:rsidR="00010CFA" w:rsidRPr="00E01D5A" w:rsidRDefault="00010CFA" w:rsidP="00010CFA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010CFA" w:rsidRPr="00E01D5A" w:rsidRDefault="00010CFA" w:rsidP="00010CF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010CFA" w:rsidRPr="00E01D5A" w:rsidRDefault="00010CFA" w:rsidP="00010CF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010CFA" w:rsidRPr="00E01D5A" w:rsidRDefault="00010CFA" w:rsidP="00010CFA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010CFA" w:rsidRDefault="00010CFA" w:rsidP="00010CFA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010CFA" w:rsidRPr="00E01D5A" w:rsidRDefault="00010CFA" w:rsidP="00010CFA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010CFA" w:rsidRDefault="00010CFA" w:rsidP="00010CFA">
      <w:pPr>
        <w:tabs>
          <w:tab w:val="left" w:pos="284"/>
        </w:tabs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b/>
          <w:sz w:val="24"/>
          <w:szCs w:val="24"/>
          <w:lang w:val="en-SG"/>
        </w:rPr>
      </w:pPr>
      <w:r w:rsidRPr="003569C6">
        <w:rPr>
          <w:rFonts w:ascii="Times New Roman" w:eastAsia="MS Mincho" w:hAnsi="Times New Roman"/>
          <w:b/>
          <w:sz w:val="24"/>
          <w:szCs w:val="24"/>
          <w:lang w:val="en-SG"/>
        </w:rPr>
        <w:t xml:space="preserve">Hsa-miR-4732-3p as a new factor for monitoring treatment success to </w:t>
      </w:r>
      <w:proofErr w:type="spellStart"/>
      <w:r w:rsidRPr="003569C6">
        <w:rPr>
          <w:rFonts w:ascii="Times New Roman" w:eastAsia="MS Mincho" w:hAnsi="Times New Roman"/>
          <w:b/>
          <w:sz w:val="24"/>
          <w:szCs w:val="24"/>
          <w:lang w:val="en-SG"/>
        </w:rPr>
        <w:t>imatinib</w:t>
      </w:r>
      <w:proofErr w:type="spellEnd"/>
      <w:r w:rsidRPr="003569C6">
        <w:rPr>
          <w:rFonts w:ascii="Times New Roman" w:eastAsia="MS Mincho" w:hAnsi="Times New Roman"/>
          <w:b/>
          <w:sz w:val="24"/>
          <w:szCs w:val="24"/>
          <w:lang w:val="en-SG"/>
        </w:rPr>
        <w:t xml:space="preserve"> in Chronic Myeloid Leukaemia</w:t>
      </w:r>
    </w:p>
    <w:p w:rsidR="00010CFA" w:rsidRDefault="00010CFA" w:rsidP="00010CFA">
      <w:pPr>
        <w:tabs>
          <w:tab w:val="left" w:pos="284"/>
        </w:tabs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b/>
          <w:sz w:val="24"/>
          <w:szCs w:val="24"/>
          <w:lang w:val="en-SG"/>
        </w:rPr>
      </w:pPr>
    </w:p>
    <w:p w:rsidR="00010CFA" w:rsidRDefault="00010CFA" w:rsidP="00010CFA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sz w:val="20"/>
          <w:szCs w:val="24"/>
          <w:lang w:val="en-SG"/>
        </w:rPr>
      </w:pPr>
      <w:proofErr w:type="gramStart"/>
      <w:r w:rsidRPr="003569C6">
        <w:rPr>
          <w:rFonts w:ascii="Times New Roman" w:eastAsia="MS Mincho" w:hAnsi="Times New Roman"/>
          <w:sz w:val="20"/>
          <w:szCs w:val="24"/>
          <w:vertAlign w:val="superscript"/>
          <w:lang w:val="en-SG"/>
        </w:rPr>
        <w:t>1</w:t>
      </w:r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Aliza </w:t>
      </w:r>
      <w:proofErr w:type="spellStart"/>
      <w:r w:rsidRPr="003569C6">
        <w:rPr>
          <w:rFonts w:ascii="Times New Roman" w:eastAsia="MS Mincho" w:hAnsi="Times New Roman"/>
          <w:sz w:val="20"/>
          <w:szCs w:val="24"/>
          <w:lang w:val="en-SG"/>
        </w:rPr>
        <w:t>Mohd</w:t>
      </w:r>
      <w:proofErr w:type="spellEnd"/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 </w:t>
      </w:r>
      <w:proofErr w:type="spellStart"/>
      <w:r w:rsidRPr="003569C6">
        <w:rPr>
          <w:rFonts w:ascii="Times New Roman" w:eastAsia="MS Mincho" w:hAnsi="Times New Roman"/>
          <w:sz w:val="20"/>
          <w:szCs w:val="24"/>
          <w:lang w:val="en-SG"/>
        </w:rPr>
        <w:t>Yacob</w:t>
      </w:r>
      <w:proofErr w:type="spellEnd"/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*; </w:t>
      </w:r>
      <w:r w:rsidRPr="003569C6">
        <w:rPr>
          <w:rFonts w:ascii="Times New Roman" w:eastAsia="MS Mincho" w:hAnsi="Times New Roman"/>
          <w:sz w:val="20"/>
          <w:szCs w:val="24"/>
          <w:vertAlign w:val="superscript"/>
          <w:lang w:val="en-SG"/>
        </w:rPr>
        <w:t>2</w:t>
      </w:r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Chang </w:t>
      </w:r>
      <w:proofErr w:type="spellStart"/>
      <w:r w:rsidRPr="003569C6">
        <w:rPr>
          <w:rFonts w:ascii="Times New Roman" w:eastAsia="MS Mincho" w:hAnsi="Times New Roman"/>
          <w:sz w:val="20"/>
          <w:szCs w:val="24"/>
          <w:lang w:val="en-SG"/>
        </w:rPr>
        <w:t>Kian</w:t>
      </w:r>
      <w:proofErr w:type="spellEnd"/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 </w:t>
      </w:r>
      <w:proofErr w:type="spellStart"/>
      <w:r w:rsidRPr="003569C6">
        <w:rPr>
          <w:rFonts w:ascii="Times New Roman" w:eastAsia="MS Mincho" w:hAnsi="Times New Roman"/>
          <w:sz w:val="20"/>
          <w:szCs w:val="24"/>
          <w:lang w:val="en-SG"/>
        </w:rPr>
        <w:t>Meng</w:t>
      </w:r>
      <w:proofErr w:type="spellEnd"/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; </w:t>
      </w:r>
      <w:r w:rsidRPr="003569C6">
        <w:rPr>
          <w:rFonts w:ascii="Times New Roman" w:eastAsia="MS Mincho" w:hAnsi="Times New Roman"/>
          <w:sz w:val="20"/>
          <w:szCs w:val="24"/>
          <w:vertAlign w:val="superscript"/>
          <w:lang w:val="en-SG"/>
        </w:rPr>
        <w:t>3</w:t>
      </w:r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Nor </w:t>
      </w:r>
      <w:proofErr w:type="spellStart"/>
      <w:r w:rsidRPr="003569C6">
        <w:rPr>
          <w:rFonts w:ascii="Times New Roman" w:eastAsia="MS Mincho" w:hAnsi="Times New Roman"/>
          <w:sz w:val="20"/>
          <w:szCs w:val="24"/>
          <w:lang w:val="en-SG"/>
        </w:rPr>
        <w:t>Asiah</w:t>
      </w:r>
      <w:proofErr w:type="spellEnd"/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 Muhammad; </w:t>
      </w:r>
      <w:r w:rsidRPr="003569C6">
        <w:rPr>
          <w:rFonts w:ascii="Times New Roman" w:eastAsia="MS Mincho" w:hAnsi="Times New Roman"/>
          <w:sz w:val="20"/>
          <w:szCs w:val="24"/>
          <w:vertAlign w:val="superscript"/>
          <w:lang w:val="en-SG"/>
        </w:rPr>
        <w:t>1</w:t>
      </w:r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Yuslina Mat </w:t>
      </w:r>
      <w:proofErr w:type="spellStart"/>
      <w:r w:rsidRPr="003569C6">
        <w:rPr>
          <w:rFonts w:ascii="Times New Roman" w:eastAsia="MS Mincho" w:hAnsi="Times New Roman"/>
          <w:sz w:val="20"/>
          <w:szCs w:val="24"/>
          <w:lang w:val="en-SG"/>
        </w:rPr>
        <w:t>Yusoff</w:t>
      </w:r>
      <w:proofErr w:type="spellEnd"/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; </w:t>
      </w:r>
      <w:r w:rsidRPr="003569C6">
        <w:rPr>
          <w:rFonts w:ascii="Times New Roman" w:eastAsia="MS Mincho" w:hAnsi="Times New Roman"/>
          <w:sz w:val="20"/>
          <w:szCs w:val="24"/>
          <w:vertAlign w:val="superscript"/>
          <w:lang w:val="en-SG"/>
        </w:rPr>
        <w:t>1</w:t>
      </w:r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Latifah Ibrahim and </w:t>
      </w:r>
      <w:r w:rsidRPr="003569C6">
        <w:rPr>
          <w:rFonts w:ascii="Times New Roman" w:eastAsia="MS Mincho" w:hAnsi="Times New Roman"/>
          <w:sz w:val="20"/>
          <w:szCs w:val="24"/>
          <w:vertAlign w:val="superscript"/>
          <w:lang w:val="en-SG"/>
        </w:rPr>
        <w:t>1</w:t>
      </w:r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Zubaidah </w:t>
      </w:r>
      <w:proofErr w:type="spellStart"/>
      <w:r w:rsidRPr="003569C6">
        <w:rPr>
          <w:rFonts w:ascii="Times New Roman" w:eastAsia="MS Mincho" w:hAnsi="Times New Roman"/>
          <w:sz w:val="20"/>
          <w:szCs w:val="24"/>
          <w:lang w:val="en-SG"/>
        </w:rPr>
        <w:t>Zakaria</w:t>
      </w:r>
      <w:proofErr w:type="spellEnd"/>
      <w:r w:rsidRPr="003569C6">
        <w:rPr>
          <w:rFonts w:ascii="Times New Roman" w:eastAsia="MS Mincho" w:hAnsi="Times New Roman"/>
          <w:sz w:val="20"/>
          <w:szCs w:val="24"/>
          <w:lang w:val="en-SG"/>
        </w:rPr>
        <w:t>.</w:t>
      </w:r>
      <w:proofErr w:type="gramEnd"/>
      <w:r w:rsidRPr="003569C6">
        <w:rPr>
          <w:rFonts w:ascii="Times New Roman" w:eastAsia="MS Mincho" w:hAnsi="Times New Roman"/>
          <w:sz w:val="20"/>
          <w:szCs w:val="24"/>
          <w:lang w:val="en-SG"/>
        </w:rPr>
        <w:t xml:space="preserve">   </w:t>
      </w:r>
    </w:p>
    <w:p w:rsidR="00010CFA" w:rsidRPr="000A63AC" w:rsidRDefault="00010CFA" w:rsidP="00010CFA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sz w:val="24"/>
          <w:szCs w:val="24"/>
          <w:lang w:val="en-SG"/>
        </w:rPr>
      </w:pPr>
    </w:p>
    <w:p w:rsidR="00010CFA" w:rsidRDefault="00010CFA" w:rsidP="00010CFA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sz w:val="16"/>
          <w:szCs w:val="20"/>
          <w:lang w:val="en-SG"/>
        </w:rPr>
      </w:pPr>
      <w:proofErr w:type="gramStart"/>
      <w:r w:rsidRPr="003569C6">
        <w:rPr>
          <w:rFonts w:ascii="Times New Roman" w:eastAsia="MS Mincho" w:hAnsi="Times New Roman"/>
          <w:sz w:val="16"/>
          <w:szCs w:val="20"/>
          <w:vertAlign w:val="superscript"/>
          <w:lang w:val="en-SG"/>
        </w:rPr>
        <w:t>1</w:t>
      </w:r>
      <w:r w:rsidRPr="003569C6">
        <w:rPr>
          <w:rFonts w:ascii="Times New Roman" w:eastAsia="MS Mincho" w:hAnsi="Times New Roman"/>
          <w:sz w:val="16"/>
          <w:szCs w:val="20"/>
          <w:lang w:val="en-SG"/>
        </w:rPr>
        <w:t xml:space="preserve">Institute for Medical Research, Kuala Lumpur; </w:t>
      </w:r>
      <w:r w:rsidRPr="003569C6">
        <w:rPr>
          <w:rFonts w:ascii="Times New Roman" w:eastAsia="MS Mincho" w:hAnsi="Times New Roman"/>
          <w:sz w:val="16"/>
          <w:szCs w:val="20"/>
          <w:vertAlign w:val="superscript"/>
          <w:lang w:val="en-SG"/>
        </w:rPr>
        <w:t>2</w:t>
      </w:r>
      <w:r w:rsidRPr="003569C6">
        <w:rPr>
          <w:rFonts w:ascii="Times New Roman" w:eastAsia="MS Mincho" w:hAnsi="Times New Roman"/>
          <w:sz w:val="16"/>
          <w:szCs w:val="20"/>
          <w:lang w:val="en-SG"/>
        </w:rPr>
        <w:t xml:space="preserve">Ampang Hospital, Selangor; </w:t>
      </w:r>
      <w:r w:rsidRPr="003569C6">
        <w:rPr>
          <w:rFonts w:ascii="Times New Roman" w:eastAsia="MS Mincho" w:hAnsi="Times New Roman"/>
          <w:sz w:val="16"/>
          <w:szCs w:val="20"/>
          <w:vertAlign w:val="superscript"/>
          <w:lang w:val="en-SG"/>
        </w:rPr>
        <w:t>3</w:t>
      </w:r>
      <w:r w:rsidRPr="003569C6">
        <w:rPr>
          <w:rFonts w:ascii="Times New Roman" w:eastAsia="MS Mincho" w:hAnsi="Times New Roman"/>
          <w:sz w:val="16"/>
          <w:szCs w:val="20"/>
          <w:lang w:val="en-SG"/>
        </w:rPr>
        <w:t>Institute for Public Health, Kuala Lumpur.</w:t>
      </w:r>
      <w:proofErr w:type="gramEnd"/>
    </w:p>
    <w:p w:rsidR="00010CFA" w:rsidRPr="003569C6" w:rsidRDefault="00010CFA" w:rsidP="00010CFA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sz w:val="24"/>
          <w:szCs w:val="20"/>
          <w:lang w:val="en-SG"/>
        </w:rPr>
      </w:pPr>
    </w:p>
    <w:p w:rsidR="00010CFA" w:rsidRPr="00E01D5A" w:rsidRDefault="00010CFA" w:rsidP="00010CFA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010CFA" w:rsidRDefault="00010CFA" w:rsidP="00010CFA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i/>
          <w:sz w:val="24"/>
          <w:szCs w:val="24"/>
          <w:lang w:val="en-SG"/>
        </w:rPr>
      </w:pPr>
    </w:p>
    <w:p w:rsidR="00010CFA" w:rsidRDefault="00010CFA" w:rsidP="00010CFA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i/>
          <w:sz w:val="24"/>
          <w:szCs w:val="24"/>
          <w:lang w:val="en-SG"/>
        </w:rPr>
      </w:pPr>
    </w:p>
    <w:p w:rsidR="005F50B0" w:rsidRPr="00010CFA" w:rsidRDefault="00010CFA" w:rsidP="00010CFA"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Chronic Myeloid Leukaemia (CML) occurs mostly in adult and characterized by the presence of BCR-ABL1 transcripts in peripheral blood or bone marrow in more than 90% of CML patients.  CML is treated with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, a first generation of tyrosine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kinase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inhibitor (TKI) as first-line therapy or second generation TKI.  Non responders will be treated with the subsequent TKIs.  Studies have shown that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microRNAs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(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miRNAs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) are linked to suppression or progression of cancer. Therefore the objective of this study was to identify suitable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miRNA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for monitoring treatment success to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treatment. 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MiRNAs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from adult Malay males of normal control, CML patient responding and not responding to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were purified from 2.5ml peripheral blood using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PAXgene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® Blood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miRNA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Kit (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PreAnalytiX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).  Libraries were prepared using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Illumina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®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TruSeq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Small RNA kit (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illumina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) and profiled using Next Generation Sequencing on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illumina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Miseq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.  Alignment was carried out using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BaseSpace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(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illumina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).  Hsa-miR-4732-3p was expressed two times more in normal control than in CML patient responding to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treatment but not detected in CML patient not responding to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treatment.  These indicated increasing level of hsa-miR-4732-3p represents the declining of BCR-ABL1 transcripts level and could be used as a new factor for monitoring treatment success to </w:t>
      </w:r>
      <w:proofErr w:type="spellStart"/>
      <w:r w:rsidRPr="00FD318B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FD318B">
        <w:rPr>
          <w:rFonts w:ascii="Times New Roman" w:eastAsia="MS Mincho" w:hAnsi="Times New Roman"/>
          <w:sz w:val="24"/>
          <w:szCs w:val="24"/>
          <w:lang w:val="en-SG"/>
        </w:rPr>
        <w:t xml:space="preserve"> in CML.</w:t>
      </w:r>
    </w:p>
    <w:sectPr w:rsidR="005F50B0" w:rsidRPr="00010CFA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010CFA"/>
    <w:rsid w:val="00155043"/>
    <w:rsid w:val="00220522"/>
    <w:rsid w:val="00267BB4"/>
    <w:rsid w:val="00272285"/>
    <w:rsid w:val="00284F61"/>
    <w:rsid w:val="002B4529"/>
    <w:rsid w:val="0030792F"/>
    <w:rsid w:val="00377C06"/>
    <w:rsid w:val="003F11C2"/>
    <w:rsid w:val="004B7E69"/>
    <w:rsid w:val="005F50B0"/>
    <w:rsid w:val="00705D6A"/>
    <w:rsid w:val="00764AD8"/>
    <w:rsid w:val="0078613A"/>
    <w:rsid w:val="007C0633"/>
    <w:rsid w:val="0086554A"/>
    <w:rsid w:val="00867291"/>
    <w:rsid w:val="008D0F2B"/>
    <w:rsid w:val="00982060"/>
    <w:rsid w:val="009B774D"/>
    <w:rsid w:val="00A24E8D"/>
    <w:rsid w:val="00B96695"/>
    <w:rsid w:val="00C24664"/>
    <w:rsid w:val="00E55C30"/>
    <w:rsid w:val="00EC2558"/>
    <w:rsid w:val="00E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2017-11-08T06:27:00Z</dcterms:created>
  <dcterms:modified xsi:type="dcterms:W3CDTF">2017-11-08T06:27:00Z</dcterms:modified>
</cp:coreProperties>
</file>