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A1" w:rsidRPr="00E01D5A" w:rsidRDefault="00082DA1" w:rsidP="00082DA1">
      <w:pPr>
        <w:pStyle w:val="Default"/>
        <w:spacing w:before="10" w:after="10"/>
        <w:ind w:left="720" w:right="720"/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01D5A">
        <w:rPr>
          <w:rFonts w:ascii="Times New Roman" w:hAnsi="Times New Roman" w:cs="Times New Roman"/>
          <w:b/>
          <w:color w:val="auto"/>
          <w:sz w:val="22"/>
          <w:szCs w:val="22"/>
        </w:rPr>
        <w:t>P8</w:t>
      </w:r>
    </w:p>
    <w:p w:rsidR="00082DA1" w:rsidRPr="00E01D5A" w:rsidRDefault="00082DA1" w:rsidP="00082DA1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i/>
          <w:iCs/>
          <w:sz w:val="18"/>
          <w:szCs w:val="18"/>
        </w:rPr>
        <w:t>Asia-Pacific Journal of Molecular Medicine 2017, 7 (SUPP 1)</w:t>
      </w:r>
    </w:p>
    <w:p w:rsidR="00082DA1" w:rsidRPr="00E01D5A" w:rsidRDefault="00082DA1" w:rsidP="00082DA1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>Abstracts for 7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Regional Conference on Molecular Medicine (RCMM)</w:t>
      </w:r>
    </w:p>
    <w:p w:rsidR="00082DA1" w:rsidRPr="00E01D5A" w:rsidRDefault="00082DA1" w:rsidP="00082DA1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gramStart"/>
      <w:r w:rsidRPr="00E01D5A">
        <w:rPr>
          <w:rFonts w:ascii="Times New Roman" w:hAnsi="Times New Roman"/>
          <w:b/>
          <w:iCs/>
          <w:sz w:val="18"/>
          <w:szCs w:val="18"/>
        </w:rPr>
        <w:t>in</w:t>
      </w:r>
      <w:proofErr w:type="gramEnd"/>
      <w:r w:rsidRPr="00E01D5A">
        <w:rPr>
          <w:rFonts w:ascii="Times New Roman" w:hAnsi="Times New Roman"/>
          <w:b/>
          <w:iCs/>
          <w:sz w:val="18"/>
          <w:szCs w:val="18"/>
        </w:rPr>
        <w:t xml:space="preserve"> Conjunction with 3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rd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National Conference for Cancer Research 2017</w:t>
      </w:r>
    </w:p>
    <w:p w:rsidR="00082DA1" w:rsidRDefault="00082DA1" w:rsidP="00082DA1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  <w:r w:rsidRPr="00E01D5A">
        <w:rPr>
          <w:rFonts w:ascii="Times New Roman" w:hAnsi="Times New Roman"/>
          <w:b/>
          <w:sz w:val="18"/>
          <w:szCs w:val="18"/>
        </w:rPr>
        <w:t>10-1</w:t>
      </w:r>
      <w:r w:rsidRPr="00E01D5A">
        <w:rPr>
          <w:rFonts w:ascii="Times New Roman" w:hAnsi="Times New Roman" w:hint="eastAsia"/>
          <w:b/>
          <w:sz w:val="18"/>
          <w:szCs w:val="18"/>
        </w:rPr>
        <w:t>2</w:t>
      </w:r>
      <w:r w:rsidRPr="00E01D5A">
        <w:rPr>
          <w:rFonts w:ascii="Times New Roman" w:hAnsi="Times New Roman"/>
          <w:b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sz w:val="18"/>
          <w:szCs w:val="18"/>
        </w:rPr>
        <w:t xml:space="preserve"> November 2017, Auditorium UMBI, Kuala Lumpur</w:t>
      </w:r>
    </w:p>
    <w:p w:rsidR="00082DA1" w:rsidRDefault="00082DA1" w:rsidP="00082DA1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082DA1" w:rsidRPr="00E01D5A" w:rsidRDefault="00082DA1" w:rsidP="00082DA1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</w:p>
    <w:p w:rsidR="00082DA1" w:rsidRDefault="00082DA1" w:rsidP="00082DA1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b/>
          <w:bCs/>
          <w:sz w:val="24"/>
          <w:szCs w:val="24"/>
          <w:lang/>
        </w:rPr>
      </w:pPr>
      <w:r w:rsidRPr="009033D9">
        <w:rPr>
          <w:rFonts w:ascii="Times New Roman" w:eastAsia="Times New Roman" w:hAnsi="Times New Roman"/>
          <w:b/>
          <w:bCs/>
          <w:sz w:val="24"/>
          <w:szCs w:val="24"/>
          <w:lang/>
        </w:rPr>
        <w:t xml:space="preserve">Monitoring treatment failure to </w:t>
      </w:r>
      <w:proofErr w:type="spellStart"/>
      <w:r w:rsidRPr="009033D9">
        <w:rPr>
          <w:rFonts w:ascii="Times New Roman" w:eastAsia="Times New Roman" w:hAnsi="Times New Roman"/>
          <w:b/>
          <w:bCs/>
          <w:sz w:val="24"/>
          <w:szCs w:val="24"/>
          <w:lang/>
        </w:rPr>
        <w:t>imatinib</w:t>
      </w:r>
      <w:proofErr w:type="spellEnd"/>
      <w:r w:rsidRPr="009033D9">
        <w:rPr>
          <w:rFonts w:ascii="Times New Roman" w:eastAsia="Times New Roman" w:hAnsi="Times New Roman"/>
          <w:b/>
          <w:bCs/>
          <w:sz w:val="24"/>
          <w:szCs w:val="24"/>
          <w:lang/>
        </w:rPr>
        <w:t xml:space="preserve"> using hsa-miR-652-3p in Chronic Myeloid </w:t>
      </w:r>
      <w:proofErr w:type="spellStart"/>
      <w:r w:rsidRPr="009033D9">
        <w:rPr>
          <w:rFonts w:ascii="Times New Roman" w:eastAsia="Times New Roman" w:hAnsi="Times New Roman"/>
          <w:b/>
          <w:bCs/>
          <w:sz w:val="24"/>
          <w:szCs w:val="24"/>
          <w:lang/>
        </w:rPr>
        <w:t>Leukaemia</w:t>
      </w:r>
      <w:proofErr w:type="spellEnd"/>
    </w:p>
    <w:p w:rsidR="00082DA1" w:rsidRPr="00E01D5A" w:rsidRDefault="00082DA1" w:rsidP="00082DA1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b/>
          <w:bCs/>
          <w:sz w:val="24"/>
          <w:szCs w:val="24"/>
          <w:lang/>
        </w:rPr>
      </w:pPr>
    </w:p>
    <w:p w:rsidR="00082DA1" w:rsidRDefault="00082DA1" w:rsidP="00082DA1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sz w:val="20"/>
          <w:szCs w:val="20"/>
          <w:lang/>
        </w:rPr>
      </w:pPr>
      <w:proofErr w:type="gramStart"/>
      <w:r w:rsidRPr="009033D9">
        <w:rPr>
          <w:rFonts w:ascii="Times New Roman" w:eastAsia="Times New Roman" w:hAnsi="Times New Roman"/>
          <w:sz w:val="20"/>
          <w:szCs w:val="20"/>
          <w:vertAlign w:val="superscript"/>
          <w:lang/>
        </w:rPr>
        <w:t>1</w:t>
      </w:r>
      <w:r w:rsidRPr="009033D9">
        <w:rPr>
          <w:rFonts w:ascii="Times New Roman" w:eastAsia="Times New Roman" w:hAnsi="Times New Roman"/>
          <w:sz w:val="20"/>
          <w:szCs w:val="20"/>
          <w:lang/>
        </w:rPr>
        <w:t xml:space="preserve">Aliza </w:t>
      </w:r>
      <w:proofErr w:type="spellStart"/>
      <w:r w:rsidRPr="009033D9">
        <w:rPr>
          <w:rFonts w:ascii="Times New Roman" w:eastAsia="Times New Roman" w:hAnsi="Times New Roman"/>
          <w:sz w:val="20"/>
          <w:szCs w:val="20"/>
          <w:lang/>
        </w:rPr>
        <w:t>Mohd</w:t>
      </w:r>
      <w:proofErr w:type="spellEnd"/>
      <w:r w:rsidRPr="009033D9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9033D9">
        <w:rPr>
          <w:rFonts w:ascii="Times New Roman" w:eastAsia="Times New Roman" w:hAnsi="Times New Roman"/>
          <w:sz w:val="20"/>
          <w:szCs w:val="20"/>
          <w:lang/>
        </w:rPr>
        <w:t>Yacob</w:t>
      </w:r>
      <w:proofErr w:type="spellEnd"/>
      <w:r w:rsidRPr="009033D9">
        <w:rPr>
          <w:rFonts w:ascii="Times New Roman" w:eastAsia="Times New Roman" w:hAnsi="Times New Roman"/>
          <w:sz w:val="20"/>
          <w:szCs w:val="20"/>
          <w:lang/>
        </w:rPr>
        <w:t xml:space="preserve">*; </w:t>
      </w:r>
      <w:r w:rsidRPr="009033D9">
        <w:rPr>
          <w:rFonts w:ascii="Times New Roman" w:eastAsia="Times New Roman" w:hAnsi="Times New Roman"/>
          <w:sz w:val="20"/>
          <w:szCs w:val="20"/>
          <w:vertAlign w:val="superscript"/>
          <w:lang/>
        </w:rPr>
        <w:t>2</w:t>
      </w:r>
      <w:r w:rsidRPr="009033D9">
        <w:rPr>
          <w:rFonts w:ascii="Times New Roman" w:eastAsia="Times New Roman" w:hAnsi="Times New Roman"/>
          <w:sz w:val="20"/>
          <w:szCs w:val="20"/>
          <w:lang/>
        </w:rPr>
        <w:t xml:space="preserve">Chang </w:t>
      </w:r>
      <w:proofErr w:type="spellStart"/>
      <w:r w:rsidRPr="009033D9">
        <w:rPr>
          <w:rFonts w:ascii="Times New Roman" w:eastAsia="Times New Roman" w:hAnsi="Times New Roman"/>
          <w:sz w:val="20"/>
          <w:szCs w:val="20"/>
          <w:lang/>
        </w:rPr>
        <w:t>Kian</w:t>
      </w:r>
      <w:proofErr w:type="spellEnd"/>
      <w:r w:rsidRPr="009033D9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9033D9">
        <w:rPr>
          <w:rFonts w:ascii="Times New Roman" w:eastAsia="Times New Roman" w:hAnsi="Times New Roman"/>
          <w:sz w:val="20"/>
          <w:szCs w:val="20"/>
          <w:lang/>
        </w:rPr>
        <w:t>Meng</w:t>
      </w:r>
      <w:proofErr w:type="spellEnd"/>
      <w:r w:rsidRPr="009033D9">
        <w:rPr>
          <w:rFonts w:ascii="Times New Roman" w:eastAsia="Times New Roman" w:hAnsi="Times New Roman"/>
          <w:sz w:val="20"/>
          <w:szCs w:val="20"/>
          <w:lang/>
        </w:rPr>
        <w:t xml:space="preserve">; </w:t>
      </w:r>
      <w:r w:rsidRPr="009033D9">
        <w:rPr>
          <w:rFonts w:ascii="Times New Roman" w:eastAsia="Times New Roman" w:hAnsi="Times New Roman"/>
          <w:sz w:val="20"/>
          <w:szCs w:val="20"/>
          <w:vertAlign w:val="superscript"/>
          <w:lang/>
        </w:rPr>
        <w:t>3</w:t>
      </w:r>
      <w:r w:rsidRPr="009033D9">
        <w:rPr>
          <w:rFonts w:ascii="Times New Roman" w:eastAsia="Times New Roman" w:hAnsi="Times New Roman"/>
          <w:sz w:val="20"/>
          <w:szCs w:val="20"/>
          <w:lang/>
        </w:rPr>
        <w:t xml:space="preserve">Nor </w:t>
      </w:r>
      <w:proofErr w:type="spellStart"/>
      <w:r w:rsidRPr="009033D9">
        <w:rPr>
          <w:rFonts w:ascii="Times New Roman" w:eastAsia="Times New Roman" w:hAnsi="Times New Roman"/>
          <w:sz w:val="20"/>
          <w:szCs w:val="20"/>
          <w:lang/>
        </w:rPr>
        <w:t>Asiah</w:t>
      </w:r>
      <w:proofErr w:type="spellEnd"/>
      <w:r w:rsidRPr="009033D9">
        <w:rPr>
          <w:rFonts w:ascii="Times New Roman" w:eastAsia="Times New Roman" w:hAnsi="Times New Roman"/>
          <w:sz w:val="20"/>
          <w:szCs w:val="20"/>
          <w:lang/>
        </w:rPr>
        <w:t xml:space="preserve"> Muhammad; </w:t>
      </w:r>
      <w:r w:rsidRPr="009033D9">
        <w:rPr>
          <w:rFonts w:ascii="Times New Roman" w:eastAsia="Times New Roman" w:hAnsi="Times New Roman"/>
          <w:sz w:val="20"/>
          <w:szCs w:val="20"/>
          <w:vertAlign w:val="superscript"/>
          <w:lang/>
        </w:rPr>
        <w:t>1</w:t>
      </w:r>
      <w:r w:rsidRPr="009033D9">
        <w:rPr>
          <w:rFonts w:ascii="Times New Roman" w:eastAsia="Times New Roman" w:hAnsi="Times New Roman"/>
          <w:sz w:val="20"/>
          <w:szCs w:val="20"/>
          <w:lang/>
        </w:rPr>
        <w:t xml:space="preserve">Yuslina Mat </w:t>
      </w:r>
      <w:proofErr w:type="spellStart"/>
      <w:r w:rsidRPr="009033D9">
        <w:rPr>
          <w:rFonts w:ascii="Times New Roman" w:eastAsia="Times New Roman" w:hAnsi="Times New Roman"/>
          <w:sz w:val="20"/>
          <w:szCs w:val="20"/>
          <w:lang/>
        </w:rPr>
        <w:t>Yusoff</w:t>
      </w:r>
      <w:proofErr w:type="spellEnd"/>
      <w:r w:rsidRPr="009033D9">
        <w:rPr>
          <w:rFonts w:ascii="Times New Roman" w:eastAsia="Times New Roman" w:hAnsi="Times New Roman"/>
          <w:sz w:val="20"/>
          <w:szCs w:val="20"/>
          <w:lang/>
        </w:rPr>
        <w:t xml:space="preserve">; </w:t>
      </w:r>
      <w:r w:rsidRPr="009033D9">
        <w:rPr>
          <w:rFonts w:ascii="Times New Roman" w:eastAsia="Times New Roman" w:hAnsi="Times New Roman"/>
          <w:sz w:val="20"/>
          <w:szCs w:val="20"/>
          <w:vertAlign w:val="superscript"/>
          <w:lang/>
        </w:rPr>
        <w:t>1</w:t>
      </w:r>
      <w:r w:rsidRPr="009033D9">
        <w:rPr>
          <w:rFonts w:ascii="Times New Roman" w:eastAsia="Times New Roman" w:hAnsi="Times New Roman"/>
          <w:sz w:val="20"/>
          <w:szCs w:val="20"/>
          <w:lang/>
        </w:rPr>
        <w:t xml:space="preserve">Latifah Ibrahim and </w:t>
      </w:r>
      <w:r w:rsidRPr="009033D9">
        <w:rPr>
          <w:rFonts w:ascii="Times New Roman" w:eastAsia="Times New Roman" w:hAnsi="Times New Roman"/>
          <w:sz w:val="20"/>
          <w:szCs w:val="20"/>
          <w:vertAlign w:val="superscript"/>
          <w:lang/>
        </w:rPr>
        <w:t>1</w:t>
      </w:r>
      <w:r w:rsidRPr="009033D9">
        <w:rPr>
          <w:rFonts w:ascii="Times New Roman" w:eastAsia="Times New Roman" w:hAnsi="Times New Roman"/>
          <w:sz w:val="20"/>
          <w:szCs w:val="20"/>
          <w:lang/>
        </w:rPr>
        <w:t xml:space="preserve">Zubaidah </w:t>
      </w:r>
      <w:proofErr w:type="spellStart"/>
      <w:r w:rsidRPr="009033D9">
        <w:rPr>
          <w:rFonts w:ascii="Times New Roman" w:eastAsia="Times New Roman" w:hAnsi="Times New Roman"/>
          <w:sz w:val="20"/>
          <w:szCs w:val="20"/>
          <w:lang/>
        </w:rPr>
        <w:t>Zakaria</w:t>
      </w:r>
      <w:proofErr w:type="spellEnd"/>
      <w:r w:rsidRPr="009033D9">
        <w:rPr>
          <w:rFonts w:ascii="Times New Roman" w:eastAsia="Times New Roman" w:hAnsi="Times New Roman"/>
          <w:sz w:val="20"/>
          <w:szCs w:val="20"/>
          <w:lang/>
        </w:rPr>
        <w:t>.</w:t>
      </w:r>
      <w:proofErr w:type="gramEnd"/>
      <w:r w:rsidRPr="009033D9">
        <w:rPr>
          <w:rFonts w:ascii="Times New Roman" w:eastAsia="Times New Roman" w:hAnsi="Times New Roman"/>
          <w:sz w:val="20"/>
          <w:szCs w:val="20"/>
          <w:lang/>
        </w:rPr>
        <w:t xml:space="preserve">   </w:t>
      </w:r>
    </w:p>
    <w:p w:rsidR="00082DA1" w:rsidRPr="00057913" w:rsidRDefault="00082DA1" w:rsidP="00082DA1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MS Mincho" w:hAnsi="Times New Roman"/>
          <w:sz w:val="24"/>
          <w:szCs w:val="20"/>
          <w:lang w:eastAsia="ja-JP"/>
        </w:rPr>
      </w:pPr>
    </w:p>
    <w:p w:rsidR="00082DA1" w:rsidRPr="009033D9" w:rsidRDefault="00082DA1" w:rsidP="00082DA1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i/>
          <w:sz w:val="16"/>
          <w:szCs w:val="16"/>
          <w:lang/>
        </w:rPr>
      </w:pPr>
      <w:proofErr w:type="gramStart"/>
      <w:r w:rsidRPr="009033D9">
        <w:rPr>
          <w:rFonts w:ascii="Times New Roman" w:eastAsia="Times New Roman" w:hAnsi="Times New Roman"/>
          <w:i/>
          <w:sz w:val="16"/>
          <w:szCs w:val="16"/>
          <w:vertAlign w:val="superscript"/>
          <w:lang/>
        </w:rPr>
        <w:t>1</w:t>
      </w:r>
      <w:r w:rsidRPr="009033D9">
        <w:rPr>
          <w:rFonts w:ascii="Times New Roman" w:eastAsia="Times New Roman" w:hAnsi="Times New Roman"/>
          <w:i/>
          <w:sz w:val="16"/>
          <w:szCs w:val="16"/>
          <w:lang/>
        </w:rPr>
        <w:t xml:space="preserve">Institute for Medical Research, Kuala Lumpur; </w:t>
      </w:r>
      <w:r w:rsidRPr="009033D9">
        <w:rPr>
          <w:rFonts w:ascii="Times New Roman" w:eastAsia="Times New Roman" w:hAnsi="Times New Roman"/>
          <w:i/>
          <w:sz w:val="16"/>
          <w:szCs w:val="16"/>
          <w:vertAlign w:val="superscript"/>
          <w:lang/>
        </w:rPr>
        <w:t>2</w:t>
      </w:r>
      <w:r w:rsidRPr="009033D9">
        <w:rPr>
          <w:rFonts w:ascii="Times New Roman" w:eastAsia="Times New Roman" w:hAnsi="Times New Roman"/>
          <w:i/>
          <w:sz w:val="16"/>
          <w:szCs w:val="16"/>
          <w:lang/>
        </w:rPr>
        <w:t xml:space="preserve">Ampang Hospital, Selangor; </w:t>
      </w:r>
      <w:r w:rsidRPr="009033D9">
        <w:rPr>
          <w:rFonts w:ascii="Times New Roman" w:eastAsia="Times New Roman" w:hAnsi="Times New Roman"/>
          <w:i/>
          <w:sz w:val="16"/>
          <w:szCs w:val="16"/>
          <w:vertAlign w:val="superscript"/>
          <w:lang/>
        </w:rPr>
        <w:t>3</w:t>
      </w:r>
      <w:r w:rsidRPr="009033D9">
        <w:rPr>
          <w:rFonts w:ascii="Times New Roman" w:eastAsia="Times New Roman" w:hAnsi="Times New Roman"/>
          <w:i/>
          <w:sz w:val="16"/>
          <w:szCs w:val="16"/>
          <w:lang/>
        </w:rPr>
        <w:t>Institute for Public Health, Kuala Lumpur.</w:t>
      </w:r>
      <w:proofErr w:type="gramEnd"/>
    </w:p>
    <w:p w:rsidR="00082DA1" w:rsidRPr="009033D9" w:rsidRDefault="00082DA1" w:rsidP="00082DA1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rPr>
          <w:rFonts w:ascii="Times New Roman" w:eastAsia="Times New Roman" w:hAnsi="Times New Roman"/>
          <w:i/>
          <w:sz w:val="24"/>
          <w:szCs w:val="16"/>
          <w:lang/>
        </w:rPr>
      </w:pPr>
    </w:p>
    <w:p w:rsidR="00082DA1" w:rsidRPr="00E01D5A" w:rsidRDefault="00082DA1" w:rsidP="00082DA1">
      <w:pPr>
        <w:tabs>
          <w:tab w:val="left" w:pos="0"/>
        </w:tabs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  <w:r w:rsidRPr="00E01D5A">
        <w:rPr>
          <w:rFonts w:ascii="Times New Roman" w:hAnsi="Times New Roman"/>
          <w:b/>
          <w:sz w:val="24"/>
          <w:szCs w:val="24"/>
        </w:rPr>
        <w:t>ABSTRACT</w:t>
      </w:r>
    </w:p>
    <w:p w:rsidR="00082DA1" w:rsidRDefault="00082DA1" w:rsidP="00082DA1">
      <w:pPr>
        <w:tabs>
          <w:tab w:val="left" w:pos="284"/>
          <w:tab w:val="left" w:pos="6521"/>
          <w:tab w:val="left" w:pos="10348"/>
        </w:tabs>
        <w:spacing w:before="10" w:after="10" w:line="240" w:lineRule="auto"/>
        <w:ind w:left="720" w:right="720" w:hanging="284"/>
        <w:jc w:val="both"/>
        <w:rPr>
          <w:rFonts w:ascii="Times New Roman" w:eastAsia="MS Mincho" w:hAnsi="Times New Roman"/>
          <w:sz w:val="24"/>
          <w:szCs w:val="24"/>
          <w:lang w:val="en-SG"/>
        </w:rPr>
      </w:pPr>
    </w:p>
    <w:p w:rsidR="00082DA1" w:rsidRDefault="00082DA1" w:rsidP="00082DA1">
      <w:pPr>
        <w:tabs>
          <w:tab w:val="left" w:pos="284"/>
          <w:tab w:val="left" w:pos="6521"/>
          <w:tab w:val="left" w:pos="10348"/>
        </w:tabs>
        <w:spacing w:before="10" w:after="10" w:line="240" w:lineRule="auto"/>
        <w:ind w:left="720" w:right="720" w:hanging="284"/>
        <w:jc w:val="both"/>
        <w:rPr>
          <w:rFonts w:ascii="Times New Roman" w:eastAsia="MS Mincho" w:hAnsi="Times New Roman"/>
          <w:sz w:val="24"/>
          <w:szCs w:val="24"/>
          <w:lang w:val="en-SG"/>
        </w:rPr>
      </w:pPr>
    </w:p>
    <w:p w:rsidR="005F50B0" w:rsidRPr="00082DA1" w:rsidRDefault="00082DA1" w:rsidP="00082DA1"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Chronic Myeloid Leukaemia (CML) is a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myeloproliferative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 neoplasm with Philadelphia chromosome as the cytogenetic hallmark of the disease.  It is the results of reciprocal translocation between the long arms of chromosome 9 and 22.  CML is treated with tyrosine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kinase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 inhibitor (TKI)</w:t>
      </w:r>
      <w:proofErr w:type="gramStart"/>
      <w:r w:rsidRPr="009033D9">
        <w:rPr>
          <w:rFonts w:ascii="Times New Roman" w:eastAsia="MS Mincho" w:hAnsi="Times New Roman"/>
          <w:sz w:val="24"/>
          <w:szCs w:val="24"/>
          <w:lang w:val="en-SG"/>
        </w:rPr>
        <w:t>,</w:t>
      </w:r>
      <w:proofErr w:type="gram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 however, failure to treatment occurs in 20% of patients.  Micro RNAs (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miRNAs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), short non-coding RNA function as regulators of transcription and are widely studied in cancers.  Thus in this study we looked at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miRNA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 that could be linked to treatment failure in non-responder towards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imatinib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, a TKI. Peripheral blood (2.5ml) from adult participants namely CML patient not responding to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imatinib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, CML patient responding to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imatinib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 and normal control were collected.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MiRNAs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 were then purified using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PAXgene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® Blood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miRNA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 Kit (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PreAnalytiX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).  </w:t>
      </w:r>
      <w:proofErr w:type="spellStart"/>
      <w:proofErr w:type="gramStart"/>
      <w:r w:rsidRPr="009033D9">
        <w:rPr>
          <w:rFonts w:ascii="Times New Roman" w:eastAsia="MS Mincho" w:hAnsi="Times New Roman"/>
          <w:sz w:val="24"/>
          <w:szCs w:val="24"/>
          <w:lang w:val="en-SG"/>
        </w:rPr>
        <w:t>cDNA</w:t>
      </w:r>
      <w:proofErr w:type="spellEnd"/>
      <w:proofErr w:type="gram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 libraries were constructed using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Illumina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®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TruSeq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 Small RNA kit (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illumina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) and ran on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illumina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Miseq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, a Next Generation Sequencing instrument followed by alignment using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BaseSpace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 (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illumina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).  Hsa-miR-652-3p was expressed near four times more in CML patient not responding to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imatinib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 treatment than normal control whereby almost the same in CML patient responding to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imatinib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 treatment.  These indicated increasing level of hsa-miR-652-3p represents the rising level of BCR-ABL1 transcripts and could be used as an indicator for monitoring treatment failure to </w:t>
      </w:r>
      <w:proofErr w:type="spellStart"/>
      <w:r w:rsidRPr="009033D9">
        <w:rPr>
          <w:rFonts w:ascii="Times New Roman" w:eastAsia="MS Mincho" w:hAnsi="Times New Roman"/>
          <w:sz w:val="24"/>
          <w:szCs w:val="24"/>
          <w:lang w:val="en-SG"/>
        </w:rPr>
        <w:t>imatinib</w:t>
      </w:r>
      <w:proofErr w:type="spellEnd"/>
      <w:r w:rsidRPr="009033D9">
        <w:rPr>
          <w:rFonts w:ascii="Times New Roman" w:eastAsia="MS Mincho" w:hAnsi="Times New Roman"/>
          <w:sz w:val="24"/>
          <w:szCs w:val="24"/>
          <w:lang w:val="en-SG"/>
        </w:rPr>
        <w:t xml:space="preserve"> in CML.</w:t>
      </w:r>
    </w:p>
    <w:sectPr w:rsidR="005F50B0" w:rsidRPr="00082DA1" w:rsidSect="005F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792F"/>
    <w:rsid w:val="00010CFA"/>
    <w:rsid w:val="00082DA1"/>
    <w:rsid w:val="00155043"/>
    <w:rsid w:val="00220522"/>
    <w:rsid w:val="00267BB4"/>
    <w:rsid w:val="00272285"/>
    <w:rsid w:val="00284F61"/>
    <w:rsid w:val="002B4529"/>
    <w:rsid w:val="0030792F"/>
    <w:rsid w:val="00377C06"/>
    <w:rsid w:val="003F11C2"/>
    <w:rsid w:val="004B7E69"/>
    <w:rsid w:val="005F50B0"/>
    <w:rsid w:val="00705D6A"/>
    <w:rsid w:val="00764AD8"/>
    <w:rsid w:val="0078613A"/>
    <w:rsid w:val="007C0633"/>
    <w:rsid w:val="0086554A"/>
    <w:rsid w:val="00867291"/>
    <w:rsid w:val="008D0F2B"/>
    <w:rsid w:val="00982060"/>
    <w:rsid w:val="009B774D"/>
    <w:rsid w:val="00A24E8D"/>
    <w:rsid w:val="00B96695"/>
    <w:rsid w:val="00C24664"/>
    <w:rsid w:val="00E55C30"/>
    <w:rsid w:val="00EC2558"/>
    <w:rsid w:val="00E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2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0C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 ZAZMIR</dc:creator>
  <cp:lastModifiedBy>L7 ZAZMIR</cp:lastModifiedBy>
  <cp:revision>2</cp:revision>
  <dcterms:created xsi:type="dcterms:W3CDTF">2017-11-08T06:27:00Z</dcterms:created>
  <dcterms:modified xsi:type="dcterms:W3CDTF">2017-11-08T06:27:00Z</dcterms:modified>
</cp:coreProperties>
</file>