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2F" w:rsidRPr="00E01D5A" w:rsidRDefault="0030792F" w:rsidP="0030792F">
      <w:pPr>
        <w:spacing w:before="10" w:after="10" w:line="240" w:lineRule="auto"/>
        <w:ind w:left="720" w:right="720"/>
        <w:jc w:val="right"/>
        <w:rPr>
          <w:rFonts w:ascii="Times New Roman" w:hAnsi="Times New Roman"/>
          <w:b/>
          <w:lang w:val="ms-MY"/>
        </w:rPr>
      </w:pPr>
      <w:r>
        <w:rPr>
          <w:rFonts w:ascii="Times New Roman" w:hAnsi="Times New Roman"/>
          <w:b/>
        </w:rPr>
        <w:t>YIA-NC1</w:t>
      </w:r>
    </w:p>
    <w:p w:rsidR="0030792F" w:rsidRPr="00E01D5A" w:rsidRDefault="0030792F" w:rsidP="0030792F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30792F" w:rsidRPr="00E01D5A" w:rsidRDefault="0030792F" w:rsidP="0030792F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30792F" w:rsidRPr="00E01D5A" w:rsidRDefault="0030792F" w:rsidP="0030792F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30792F" w:rsidRPr="00E01D5A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30792F" w:rsidRPr="00E01D5A" w:rsidRDefault="0030792F" w:rsidP="0030792F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30792F" w:rsidRPr="00E01D5A" w:rsidRDefault="0030792F" w:rsidP="0030792F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30792F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676A9">
        <w:rPr>
          <w:rFonts w:ascii="Times New Roman" w:hAnsi="Times New Roman"/>
          <w:b/>
          <w:sz w:val="24"/>
          <w:szCs w:val="24"/>
        </w:rPr>
        <w:t>Digenic</w:t>
      </w:r>
      <w:proofErr w:type="spellEnd"/>
      <w:r w:rsidRPr="00B676A9">
        <w:rPr>
          <w:rFonts w:ascii="Times New Roman" w:hAnsi="Times New Roman"/>
          <w:b/>
          <w:sz w:val="24"/>
          <w:szCs w:val="24"/>
        </w:rPr>
        <w:t xml:space="preserve"> Inheritance of Heterozygous FANCA and BRCA2 mutations in a VACTERL-H patient</w:t>
      </w:r>
    </w:p>
    <w:p w:rsidR="0030792F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30792F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4"/>
          <w:vertAlign w:val="superscript"/>
        </w:rPr>
      </w:pPr>
      <w:r w:rsidRPr="00B676A9">
        <w:rPr>
          <w:rFonts w:ascii="Times New Roman" w:hAnsi="Times New Roman"/>
          <w:sz w:val="20"/>
          <w:szCs w:val="24"/>
        </w:rPr>
        <w:t xml:space="preserve">Nor </w:t>
      </w:r>
      <w:proofErr w:type="spellStart"/>
      <w:r w:rsidRPr="00B676A9">
        <w:rPr>
          <w:rFonts w:ascii="Times New Roman" w:hAnsi="Times New Roman"/>
          <w:sz w:val="20"/>
          <w:szCs w:val="24"/>
        </w:rPr>
        <w:t>Azian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Abdul </w:t>
      </w:r>
      <w:proofErr w:type="spellStart"/>
      <w:r w:rsidRPr="00B676A9">
        <w:rPr>
          <w:rFonts w:ascii="Times New Roman" w:hAnsi="Times New Roman"/>
          <w:sz w:val="20"/>
          <w:szCs w:val="24"/>
        </w:rPr>
        <w:t>Murad</w:t>
      </w:r>
      <w:proofErr w:type="spellEnd"/>
      <w:r w:rsidRPr="00B676A9">
        <w:rPr>
          <w:rFonts w:ascii="Times New Roman" w:hAnsi="Times New Roman"/>
          <w:sz w:val="20"/>
          <w:szCs w:val="24"/>
          <w:vertAlign w:val="superscript"/>
        </w:rPr>
        <w:t>*,1</w:t>
      </w:r>
      <w:r w:rsidRPr="00B676A9">
        <w:rPr>
          <w:rFonts w:ascii="Times New Roman" w:hAnsi="Times New Roman"/>
          <w:sz w:val="20"/>
          <w:szCs w:val="24"/>
        </w:rPr>
        <w:t xml:space="preserve">, Chow </w:t>
      </w:r>
      <w:proofErr w:type="spellStart"/>
      <w:r w:rsidRPr="00B676A9">
        <w:rPr>
          <w:rFonts w:ascii="Times New Roman" w:hAnsi="Times New Roman"/>
          <w:sz w:val="20"/>
          <w:szCs w:val="24"/>
        </w:rPr>
        <w:t>Yock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Ping</w:t>
      </w:r>
      <w:r w:rsidRPr="00B676A9">
        <w:rPr>
          <w:rFonts w:ascii="Times New Roman" w:hAnsi="Times New Roman"/>
          <w:sz w:val="20"/>
          <w:szCs w:val="24"/>
          <w:vertAlign w:val="superscript"/>
        </w:rPr>
        <w:t>1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Zam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B676A9">
        <w:rPr>
          <w:rFonts w:ascii="Times New Roman" w:hAnsi="Times New Roman"/>
          <w:sz w:val="20"/>
          <w:szCs w:val="24"/>
        </w:rPr>
        <w:t>Zureena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B676A9">
        <w:rPr>
          <w:rFonts w:ascii="Times New Roman" w:hAnsi="Times New Roman"/>
          <w:sz w:val="20"/>
          <w:szCs w:val="24"/>
        </w:rPr>
        <w:t>Mohd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Rani</w:t>
      </w:r>
      <w:r w:rsidRPr="00B676A9">
        <w:rPr>
          <w:rFonts w:ascii="Times New Roman" w:hAnsi="Times New Roman"/>
          <w:sz w:val="20"/>
          <w:szCs w:val="24"/>
          <w:vertAlign w:val="superscript"/>
        </w:rPr>
        <w:t>1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Siti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B676A9">
        <w:rPr>
          <w:rFonts w:ascii="Times New Roman" w:hAnsi="Times New Roman"/>
          <w:sz w:val="20"/>
          <w:szCs w:val="24"/>
        </w:rPr>
        <w:t>Nurmi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Nasir</w:t>
      </w:r>
      <w:r w:rsidRPr="00B676A9">
        <w:rPr>
          <w:rFonts w:ascii="Times New Roman" w:hAnsi="Times New Roman"/>
          <w:sz w:val="20"/>
          <w:szCs w:val="24"/>
          <w:vertAlign w:val="superscript"/>
        </w:rPr>
        <w:t>1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Salwati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Shuib</w:t>
      </w:r>
      <w:r w:rsidRPr="00B676A9">
        <w:rPr>
          <w:rFonts w:ascii="Times New Roman" w:hAnsi="Times New Roman"/>
          <w:sz w:val="20"/>
          <w:szCs w:val="24"/>
          <w:vertAlign w:val="superscript"/>
        </w:rPr>
        <w:t>2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Dayang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Anita</w:t>
      </w:r>
      <w:r w:rsidRPr="00B676A9">
        <w:rPr>
          <w:rFonts w:ascii="Times New Roman" w:hAnsi="Times New Roman"/>
          <w:sz w:val="20"/>
          <w:szCs w:val="24"/>
          <w:vertAlign w:val="superscript"/>
        </w:rPr>
        <w:t>3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Hana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Azhari</w:t>
      </w:r>
      <w:r w:rsidRPr="00B676A9">
        <w:rPr>
          <w:rFonts w:ascii="Times New Roman" w:hAnsi="Times New Roman"/>
          <w:sz w:val="20"/>
          <w:szCs w:val="24"/>
          <w:vertAlign w:val="superscript"/>
        </w:rPr>
        <w:t>3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Syarifah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Azween</w:t>
      </w:r>
      <w:r w:rsidRPr="00B676A9">
        <w:rPr>
          <w:rFonts w:ascii="Times New Roman" w:hAnsi="Times New Roman"/>
          <w:sz w:val="20"/>
          <w:szCs w:val="24"/>
          <w:vertAlign w:val="superscript"/>
        </w:rPr>
        <w:t>4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Zarina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Abdul Latif</w:t>
      </w:r>
      <w:r w:rsidRPr="00B676A9">
        <w:rPr>
          <w:rFonts w:ascii="Times New Roman" w:hAnsi="Times New Roman"/>
          <w:sz w:val="20"/>
          <w:szCs w:val="24"/>
          <w:vertAlign w:val="superscript"/>
        </w:rPr>
        <w:t>4</w:t>
      </w:r>
      <w:r w:rsidRPr="00B676A9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B676A9">
        <w:rPr>
          <w:rFonts w:ascii="Times New Roman" w:hAnsi="Times New Roman"/>
          <w:sz w:val="20"/>
          <w:szCs w:val="24"/>
        </w:rPr>
        <w:t>Rahman</w:t>
      </w:r>
      <w:proofErr w:type="spellEnd"/>
      <w:r w:rsidRPr="00B676A9">
        <w:rPr>
          <w:rFonts w:ascii="Times New Roman" w:hAnsi="Times New Roman"/>
          <w:sz w:val="20"/>
          <w:szCs w:val="24"/>
        </w:rPr>
        <w:t xml:space="preserve"> Jamal</w:t>
      </w:r>
      <w:r w:rsidRPr="00B676A9">
        <w:rPr>
          <w:rFonts w:ascii="Times New Roman" w:hAnsi="Times New Roman"/>
          <w:sz w:val="20"/>
          <w:szCs w:val="24"/>
          <w:vertAlign w:val="superscript"/>
        </w:rPr>
        <w:t>*,1,4</w:t>
      </w:r>
    </w:p>
    <w:p w:rsidR="0030792F" w:rsidRPr="008B3D94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24"/>
        </w:rPr>
      </w:pPr>
    </w:p>
    <w:p w:rsidR="0030792F" w:rsidRPr="00E01D5A" w:rsidRDefault="0030792F" w:rsidP="0030792F">
      <w:pPr>
        <w:spacing w:before="10" w:after="10" w:line="240" w:lineRule="auto"/>
        <w:ind w:left="720" w:right="720"/>
        <w:rPr>
          <w:rFonts w:ascii="Times New Roman" w:hAnsi="Times New Roman"/>
          <w:i/>
          <w:sz w:val="16"/>
          <w:szCs w:val="16"/>
        </w:rPr>
      </w:pPr>
      <w:r w:rsidRPr="008B3D94">
        <w:rPr>
          <w:rFonts w:ascii="Times New Roman" w:hAnsi="Times New Roman"/>
          <w:i/>
          <w:sz w:val="16"/>
          <w:szCs w:val="16"/>
          <w:vertAlign w:val="superscript"/>
        </w:rPr>
        <w:t>1</w:t>
      </w:r>
      <w:r w:rsidRPr="00B676A9">
        <w:rPr>
          <w:rFonts w:ascii="Times New Roman" w:hAnsi="Times New Roman"/>
          <w:i/>
          <w:sz w:val="16"/>
          <w:szCs w:val="16"/>
        </w:rPr>
        <w:t xml:space="preserve">UKM Medical Molecular Biology Institute (UMBI),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Jalan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Yaacob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Latif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, 56000,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Cheras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, Kuala Lumpur, </w:t>
      </w:r>
      <w:r w:rsidRPr="008B3D94">
        <w:rPr>
          <w:rFonts w:ascii="Times New Roman" w:hAnsi="Times New Roman"/>
          <w:i/>
          <w:sz w:val="16"/>
          <w:szCs w:val="16"/>
          <w:vertAlign w:val="superscript"/>
        </w:rPr>
        <w:t>2</w:t>
      </w:r>
      <w:r w:rsidRPr="00B676A9">
        <w:rPr>
          <w:rFonts w:ascii="Times New Roman" w:hAnsi="Times New Roman"/>
          <w:i/>
          <w:sz w:val="16"/>
          <w:szCs w:val="16"/>
        </w:rPr>
        <w:t xml:space="preserve">Department of Pathology, </w:t>
      </w:r>
      <w:r w:rsidRPr="008B3D94">
        <w:rPr>
          <w:rFonts w:ascii="Times New Roman" w:hAnsi="Times New Roman"/>
          <w:i/>
          <w:sz w:val="16"/>
          <w:szCs w:val="16"/>
          <w:vertAlign w:val="superscript"/>
        </w:rPr>
        <w:t>3</w:t>
      </w:r>
      <w:r w:rsidRPr="00B676A9">
        <w:rPr>
          <w:rFonts w:ascii="Times New Roman" w:hAnsi="Times New Roman"/>
          <w:i/>
          <w:sz w:val="16"/>
          <w:szCs w:val="16"/>
        </w:rPr>
        <w:t xml:space="preserve">Department of Surgery, </w:t>
      </w:r>
      <w:r w:rsidRPr="008B3D94">
        <w:rPr>
          <w:rFonts w:ascii="Times New Roman" w:hAnsi="Times New Roman"/>
          <w:i/>
          <w:sz w:val="16"/>
          <w:szCs w:val="16"/>
          <w:vertAlign w:val="superscript"/>
        </w:rPr>
        <w:t>4</w:t>
      </w:r>
      <w:r w:rsidRPr="00B676A9">
        <w:rPr>
          <w:rFonts w:ascii="Times New Roman" w:hAnsi="Times New Roman"/>
          <w:i/>
          <w:sz w:val="16"/>
          <w:szCs w:val="16"/>
        </w:rPr>
        <w:t xml:space="preserve">Department of Pediatrics, Faculty of Medicine,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Universiti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Kebangsaan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Malaysia Medical Centre,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Jalan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Yaacob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Latif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 xml:space="preserve">, 56000, </w:t>
      </w:r>
      <w:proofErr w:type="spellStart"/>
      <w:r w:rsidRPr="00B676A9">
        <w:rPr>
          <w:rFonts w:ascii="Times New Roman" w:hAnsi="Times New Roman"/>
          <w:i/>
          <w:sz w:val="16"/>
          <w:szCs w:val="16"/>
        </w:rPr>
        <w:t>Cheras</w:t>
      </w:r>
      <w:proofErr w:type="spellEnd"/>
      <w:r w:rsidRPr="00B676A9">
        <w:rPr>
          <w:rFonts w:ascii="Times New Roman" w:hAnsi="Times New Roman"/>
          <w:i/>
          <w:sz w:val="16"/>
          <w:szCs w:val="16"/>
        </w:rPr>
        <w:t>, Kuala Lumpur</w:t>
      </w:r>
    </w:p>
    <w:p w:rsidR="0030792F" w:rsidRPr="008B3D94" w:rsidRDefault="0030792F" w:rsidP="0030792F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24"/>
          <w:szCs w:val="16"/>
        </w:rPr>
      </w:pPr>
    </w:p>
    <w:p w:rsidR="0030792F" w:rsidRDefault="0030792F" w:rsidP="0030792F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30792F" w:rsidRDefault="0030792F" w:rsidP="0030792F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30792F" w:rsidRDefault="0030792F" w:rsidP="0030792F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30792F" w:rsidRPr="008B3D94" w:rsidRDefault="0030792F" w:rsidP="0030792F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  <w:r w:rsidRPr="008B3D94">
        <w:rPr>
          <w:rFonts w:ascii="Times New Roman" w:hAnsi="Times New Roman"/>
          <w:sz w:val="24"/>
          <w:szCs w:val="24"/>
        </w:rPr>
        <w:t xml:space="preserve">VACTERL-hydrocephalus (VACTERL-H) is a subtype of VACTERL association, which is clinically diagnosed based on the presence of 3 or more congenital anomalies affecting the vertebrae, anus, heart, trachea, </w:t>
      </w:r>
      <w:proofErr w:type="spellStart"/>
      <w:r w:rsidRPr="008B3D94">
        <w:rPr>
          <w:rFonts w:ascii="Times New Roman" w:hAnsi="Times New Roman"/>
          <w:sz w:val="24"/>
          <w:szCs w:val="24"/>
        </w:rPr>
        <w:t>oesophagus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, kidneys or limbs. VACTERL-H is an </w:t>
      </w:r>
      <w:proofErr w:type="spellStart"/>
      <w:r w:rsidRPr="008B3D94">
        <w:rPr>
          <w:rFonts w:ascii="Times New Roman" w:hAnsi="Times New Roman"/>
          <w:sz w:val="24"/>
          <w:szCs w:val="24"/>
        </w:rPr>
        <w:t>autosomal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recessive or X-linked genetic disease and accounts for about 5% of all VACTERL cases. We performed whole </w:t>
      </w:r>
      <w:proofErr w:type="spellStart"/>
      <w:r w:rsidRPr="008B3D94">
        <w:rPr>
          <w:rFonts w:ascii="Times New Roman" w:hAnsi="Times New Roman"/>
          <w:sz w:val="24"/>
          <w:szCs w:val="24"/>
        </w:rPr>
        <w:t>exome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sequencing analysis of a 2-year-old Malaysian boy with VACTERL-H and his unaffected parents. The </w:t>
      </w:r>
      <w:proofErr w:type="spellStart"/>
      <w:r w:rsidRPr="008B3D94">
        <w:rPr>
          <w:rFonts w:ascii="Times New Roman" w:hAnsi="Times New Roman"/>
          <w:sz w:val="24"/>
          <w:szCs w:val="24"/>
        </w:rPr>
        <w:t>exome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data were </w:t>
      </w:r>
      <w:proofErr w:type="spellStart"/>
      <w:r w:rsidRPr="008B3D94">
        <w:rPr>
          <w:rFonts w:ascii="Times New Roman" w:hAnsi="Times New Roman"/>
          <w:sz w:val="24"/>
          <w:szCs w:val="24"/>
        </w:rPr>
        <w:t>analysed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using Torrent Suite version 5.0.4 and annotated using ANNOVAR. Polymorphisms with allele frequency &gt; 0.01 were excluded (1000 Genomes Project, 6500 NHLBI </w:t>
      </w:r>
      <w:proofErr w:type="spellStart"/>
      <w:r w:rsidRPr="008B3D94">
        <w:rPr>
          <w:rFonts w:ascii="Times New Roman" w:hAnsi="Times New Roman"/>
          <w:sz w:val="24"/>
          <w:szCs w:val="24"/>
        </w:rPr>
        <w:t>exomes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, maximum population frequency) and the remaining variants were filtered based on de novo mutations and </w:t>
      </w:r>
      <w:proofErr w:type="spellStart"/>
      <w:r w:rsidRPr="008B3D94">
        <w:rPr>
          <w:rFonts w:ascii="Times New Roman" w:hAnsi="Times New Roman"/>
          <w:sz w:val="24"/>
          <w:szCs w:val="24"/>
        </w:rPr>
        <w:t>autosomal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recessive, X-linked and </w:t>
      </w:r>
      <w:proofErr w:type="spellStart"/>
      <w:r w:rsidRPr="008B3D94">
        <w:rPr>
          <w:rFonts w:ascii="Times New Roman" w:hAnsi="Times New Roman"/>
          <w:sz w:val="24"/>
          <w:szCs w:val="24"/>
        </w:rPr>
        <w:t>digenic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inheritance traits. We did not detect any homozygous, compound heterozygous or X-linked mutations associated with VACTERL-H. However, we found that the patient </w:t>
      </w:r>
      <w:proofErr w:type="spellStart"/>
      <w:r w:rsidRPr="008B3D94">
        <w:rPr>
          <w:rFonts w:ascii="Times New Roman" w:hAnsi="Times New Roman"/>
          <w:sz w:val="24"/>
          <w:szCs w:val="24"/>
        </w:rPr>
        <w:t>harboured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heterozygous mutations in BRCA2 (c.C7052G:p.A2351G) and FANCA (c.C397T:p.H133Y), which were inherited from his father and mother, respectively, suggesting </w:t>
      </w:r>
      <w:proofErr w:type="spellStart"/>
      <w:r w:rsidRPr="008B3D94">
        <w:rPr>
          <w:rFonts w:ascii="Times New Roman" w:hAnsi="Times New Roman"/>
          <w:sz w:val="24"/>
          <w:szCs w:val="24"/>
        </w:rPr>
        <w:t>digenic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inheritance in this VACTERL-H patient. The candidate mutations were confirmed by Sanger sequencing. We have discovered the possibility that VACTERL-H is heritable through a </w:t>
      </w:r>
      <w:proofErr w:type="spellStart"/>
      <w:r w:rsidRPr="008B3D94">
        <w:rPr>
          <w:rFonts w:ascii="Times New Roman" w:hAnsi="Times New Roman"/>
          <w:sz w:val="24"/>
          <w:szCs w:val="24"/>
        </w:rPr>
        <w:t>digenic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inheritance and that combined heterozygous mutations of FANCA and BRCA2 might be the cause of VACTERL-H in our patient. As FANCA and BRCA2 are linked to </w:t>
      </w:r>
      <w:proofErr w:type="spellStart"/>
      <w:r w:rsidRPr="008B3D94">
        <w:rPr>
          <w:rFonts w:ascii="Times New Roman" w:hAnsi="Times New Roman"/>
          <w:sz w:val="24"/>
          <w:szCs w:val="24"/>
        </w:rPr>
        <w:t>Fanconi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D94">
        <w:rPr>
          <w:rFonts w:ascii="Times New Roman" w:hAnsi="Times New Roman"/>
          <w:sz w:val="24"/>
          <w:szCs w:val="24"/>
        </w:rPr>
        <w:t>anaemia</w:t>
      </w:r>
      <w:proofErr w:type="spellEnd"/>
      <w:r w:rsidRPr="008B3D94">
        <w:rPr>
          <w:rFonts w:ascii="Times New Roman" w:hAnsi="Times New Roman"/>
          <w:sz w:val="24"/>
          <w:szCs w:val="24"/>
        </w:rPr>
        <w:t xml:space="preserve"> (FA), clinical follow-up of the patient is crucial for determining the risk for FA and for managing the patient in future.</w:t>
      </w:r>
    </w:p>
    <w:p w:rsidR="005F50B0" w:rsidRDefault="005F50B0"/>
    <w:sectPr w:rsidR="005F50B0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30792F"/>
    <w:rsid w:val="005F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1</cp:revision>
  <dcterms:created xsi:type="dcterms:W3CDTF">2017-11-08T06:07:00Z</dcterms:created>
  <dcterms:modified xsi:type="dcterms:W3CDTF">2017-11-08T06:08:00Z</dcterms:modified>
</cp:coreProperties>
</file>