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30" w:rsidRPr="00E01D5A" w:rsidRDefault="00E55C30" w:rsidP="00E55C30">
      <w:pPr>
        <w:spacing w:before="10" w:after="10" w:line="240" w:lineRule="auto"/>
        <w:ind w:left="720" w:right="720"/>
        <w:jc w:val="right"/>
        <w:rPr>
          <w:rFonts w:ascii="Times New Roman" w:hAnsi="Times New Roman"/>
          <w:b/>
          <w:lang w:val="ms-MY"/>
        </w:rPr>
      </w:pPr>
      <w:r>
        <w:rPr>
          <w:rFonts w:ascii="Times New Roman" w:hAnsi="Times New Roman"/>
          <w:b/>
        </w:rPr>
        <w:t>YIA-NC4</w:t>
      </w:r>
    </w:p>
    <w:p w:rsidR="00E55C30" w:rsidRPr="00E01D5A" w:rsidRDefault="00E55C30" w:rsidP="00E55C30">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E55C30" w:rsidRPr="00E01D5A" w:rsidRDefault="00E55C30" w:rsidP="00E55C30">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E55C30" w:rsidRPr="00E01D5A" w:rsidRDefault="00E55C30" w:rsidP="00E55C30">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E55C30" w:rsidRPr="00E01D5A" w:rsidRDefault="00E55C30" w:rsidP="00E55C30">
      <w:pPr>
        <w:spacing w:before="10" w:after="10" w:line="240" w:lineRule="auto"/>
        <w:ind w:left="720" w:right="720"/>
        <w:jc w:val="center"/>
        <w:rPr>
          <w:rFonts w:ascii="Times New Roman" w:hAnsi="Times New Roman"/>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E55C30" w:rsidRPr="00E01D5A" w:rsidRDefault="00E55C30" w:rsidP="00E55C30">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E55C30" w:rsidRPr="00E01D5A" w:rsidRDefault="00E55C30" w:rsidP="00E55C30">
      <w:pPr>
        <w:widowControl w:val="0"/>
        <w:autoSpaceDE w:val="0"/>
        <w:autoSpaceDN w:val="0"/>
        <w:adjustRightInd w:val="0"/>
        <w:spacing w:before="10" w:after="10" w:line="240" w:lineRule="auto"/>
        <w:ind w:left="720" w:right="720"/>
        <w:jc w:val="center"/>
        <w:rPr>
          <w:rFonts w:ascii="Times New Roman" w:hAnsi="Times New Roman"/>
          <w:b/>
          <w:sz w:val="18"/>
          <w:szCs w:val="18"/>
        </w:rPr>
      </w:pPr>
    </w:p>
    <w:p w:rsidR="00E55C30" w:rsidRDefault="00E55C30" w:rsidP="00E55C30">
      <w:pPr>
        <w:spacing w:before="10" w:after="10" w:line="240" w:lineRule="auto"/>
        <w:ind w:left="720" w:right="720"/>
        <w:jc w:val="center"/>
        <w:rPr>
          <w:rFonts w:ascii="Times New Roman" w:hAnsi="Times New Roman"/>
          <w:b/>
          <w:sz w:val="24"/>
          <w:szCs w:val="24"/>
        </w:rPr>
      </w:pPr>
      <w:r w:rsidRPr="00B05551">
        <w:rPr>
          <w:rFonts w:ascii="Times New Roman" w:hAnsi="Times New Roman"/>
          <w:b/>
          <w:sz w:val="24"/>
          <w:szCs w:val="24"/>
        </w:rPr>
        <w:t xml:space="preserve">Detection of Helicobacter pylori in Gastric Biopsy by </w:t>
      </w:r>
      <w:proofErr w:type="spellStart"/>
      <w:r w:rsidRPr="00B05551">
        <w:rPr>
          <w:rFonts w:ascii="Times New Roman" w:hAnsi="Times New Roman"/>
          <w:b/>
          <w:sz w:val="24"/>
          <w:szCs w:val="24"/>
        </w:rPr>
        <w:t>Urease</w:t>
      </w:r>
      <w:proofErr w:type="spellEnd"/>
      <w:r w:rsidRPr="00B05551">
        <w:rPr>
          <w:rFonts w:ascii="Times New Roman" w:hAnsi="Times New Roman"/>
          <w:b/>
          <w:sz w:val="24"/>
          <w:szCs w:val="24"/>
        </w:rPr>
        <w:t xml:space="preserve"> Test, Culture and PCR</w:t>
      </w:r>
    </w:p>
    <w:p w:rsidR="00E55C30" w:rsidRDefault="00E55C30" w:rsidP="00E55C30">
      <w:pPr>
        <w:spacing w:before="10" w:after="10" w:line="240" w:lineRule="auto"/>
        <w:ind w:left="720" w:right="720"/>
        <w:jc w:val="center"/>
        <w:rPr>
          <w:rFonts w:ascii="Times New Roman" w:hAnsi="Times New Roman"/>
          <w:b/>
          <w:sz w:val="24"/>
          <w:szCs w:val="24"/>
        </w:rPr>
      </w:pPr>
    </w:p>
    <w:p w:rsidR="00E55C30" w:rsidRDefault="00E55C30" w:rsidP="00E55C30">
      <w:pPr>
        <w:spacing w:before="10" w:after="10" w:line="240" w:lineRule="auto"/>
        <w:ind w:left="720" w:right="720"/>
        <w:jc w:val="center"/>
        <w:rPr>
          <w:rFonts w:ascii="Times New Roman" w:hAnsi="Times New Roman"/>
          <w:sz w:val="20"/>
          <w:szCs w:val="24"/>
        </w:rPr>
      </w:pPr>
      <w:r w:rsidRPr="00B05551">
        <w:rPr>
          <w:rFonts w:ascii="Times New Roman" w:hAnsi="Times New Roman"/>
          <w:sz w:val="20"/>
          <w:szCs w:val="24"/>
          <w:vertAlign w:val="superscript"/>
        </w:rPr>
        <w:t>1</w:t>
      </w:r>
      <w:r w:rsidRPr="00B05551">
        <w:rPr>
          <w:rFonts w:ascii="Times New Roman" w:hAnsi="Times New Roman"/>
          <w:sz w:val="20"/>
          <w:szCs w:val="24"/>
        </w:rPr>
        <w:t xml:space="preserve">Noor </w:t>
      </w:r>
      <w:proofErr w:type="spellStart"/>
      <w:r w:rsidRPr="00B05551">
        <w:rPr>
          <w:rFonts w:ascii="Times New Roman" w:hAnsi="Times New Roman"/>
          <w:sz w:val="20"/>
          <w:szCs w:val="24"/>
        </w:rPr>
        <w:t>Masyitah</w:t>
      </w:r>
      <w:proofErr w:type="spellEnd"/>
      <w:r w:rsidRPr="00B05551">
        <w:rPr>
          <w:rFonts w:ascii="Times New Roman" w:hAnsi="Times New Roman"/>
          <w:sz w:val="20"/>
          <w:szCs w:val="24"/>
        </w:rPr>
        <w:t xml:space="preserve"> </w:t>
      </w:r>
      <w:proofErr w:type="spellStart"/>
      <w:r w:rsidRPr="00B05551">
        <w:rPr>
          <w:rFonts w:ascii="Times New Roman" w:hAnsi="Times New Roman"/>
          <w:sz w:val="20"/>
          <w:szCs w:val="24"/>
        </w:rPr>
        <w:t>Jumahat</w:t>
      </w:r>
      <w:proofErr w:type="spellEnd"/>
      <w:r w:rsidRPr="00B05551">
        <w:rPr>
          <w:rFonts w:ascii="Times New Roman" w:hAnsi="Times New Roman"/>
          <w:sz w:val="20"/>
          <w:szCs w:val="24"/>
        </w:rPr>
        <w:t xml:space="preserve">*, </w:t>
      </w:r>
      <w:r w:rsidRPr="00B05551">
        <w:rPr>
          <w:rFonts w:ascii="Times New Roman" w:hAnsi="Times New Roman"/>
          <w:sz w:val="20"/>
          <w:szCs w:val="24"/>
          <w:vertAlign w:val="superscript"/>
        </w:rPr>
        <w:t>1</w:t>
      </w:r>
      <w:r w:rsidRPr="00B05551">
        <w:rPr>
          <w:rFonts w:ascii="Times New Roman" w:hAnsi="Times New Roman"/>
          <w:sz w:val="20"/>
          <w:szCs w:val="24"/>
        </w:rPr>
        <w:t xml:space="preserve">Nurul </w:t>
      </w:r>
      <w:proofErr w:type="spellStart"/>
      <w:r w:rsidRPr="00B05551">
        <w:rPr>
          <w:rFonts w:ascii="Times New Roman" w:hAnsi="Times New Roman"/>
          <w:sz w:val="20"/>
          <w:szCs w:val="24"/>
        </w:rPr>
        <w:t>Fathiyah</w:t>
      </w:r>
      <w:proofErr w:type="spellEnd"/>
      <w:r w:rsidRPr="00B05551">
        <w:rPr>
          <w:rFonts w:ascii="Times New Roman" w:hAnsi="Times New Roman"/>
          <w:sz w:val="20"/>
          <w:szCs w:val="24"/>
        </w:rPr>
        <w:t xml:space="preserve"> </w:t>
      </w:r>
      <w:proofErr w:type="spellStart"/>
      <w:r w:rsidRPr="00B05551">
        <w:rPr>
          <w:rFonts w:ascii="Times New Roman" w:hAnsi="Times New Roman"/>
          <w:sz w:val="20"/>
          <w:szCs w:val="24"/>
        </w:rPr>
        <w:t>Zaipul</w:t>
      </w:r>
      <w:proofErr w:type="spellEnd"/>
      <w:r w:rsidRPr="00B05551">
        <w:rPr>
          <w:rFonts w:ascii="Times New Roman" w:hAnsi="Times New Roman"/>
          <w:sz w:val="20"/>
          <w:szCs w:val="24"/>
        </w:rPr>
        <w:t xml:space="preserve"> </w:t>
      </w:r>
      <w:proofErr w:type="spellStart"/>
      <w:r w:rsidRPr="00B05551">
        <w:rPr>
          <w:rFonts w:ascii="Times New Roman" w:hAnsi="Times New Roman"/>
          <w:sz w:val="20"/>
          <w:szCs w:val="24"/>
        </w:rPr>
        <w:t>Anuar</w:t>
      </w:r>
      <w:proofErr w:type="spellEnd"/>
      <w:r w:rsidRPr="00B05551">
        <w:rPr>
          <w:rFonts w:ascii="Times New Roman" w:hAnsi="Times New Roman"/>
          <w:sz w:val="20"/>
          <w:szCs w:val="24"/>
        </w:rPr>
        <w:t xml:space="preserve">, </w:t>
      </w:r>
      <w:r w:rsidRPr="00B05551">
        <w:rPr>
          <w:rFonts w:ascii="Times New Roman" w:hAnsi="Times New Roman"/>
          <w:sz w:val="20"/>
          <w:szCs w:val="24"/>
          <w:vertAlign w:val="superscript"/>
        </w:rPr>
        <w:t>1</w:t>
      </w:r>
      <w:r w:rsidRPr="00B05551">
        <w:rPr>
          <w:rFonts w:ascii="Times New Roman" w:hAnsi="Times New Roman"/>
          <w:sz w:val="20"/>
          <w:szCs w:val="24"/>
        </w:rPr>
        <w:t xml:space="preserve">Zaini </w:t>
      </w:r>
      <w:proofErr w:type="spellStart"/>
      <w:r w:rsidRPr="00B05551">
        <w:rPr>
          <w:rFonts w:ascii="Times New Roman" w:hAnsi="Times New Roman"/>
          <w:sz w:val="20"/>
          <w:szCs w:val="24"/>
        </w:rPr>
        <w:t>Mohd</w:t>
      </w:r>
      <w:proofErr w:type="spellEnd"/>
      <w:r w:rsidRPr="00B05551">
        <w:rPr>
          <w:rFonts w:ascii="Times New Roman" w:hAnsi="Times New Roman"/>
          <w:sz w:val="20"/>
          <w:szCs w:val="24"/>
        </w:rPr>
        <w:t xml:space="preserve"> </w:t>
      </w:r>
      <w:proofErr w:type="spellStart"/>
      <w:r w:rsidRPr="00B05551">
        <w:rPr>
          <w:rFonts w:ascii="Times New Roman" w:hAnsi="Times New Roman"/>
          <w:sz w:val="20"/>
          <w:szCs w:val="24"/>
        </w:rPr>
        <w:t>Zain</w:t>
      </w:r>
      <w:proofErr w:type="spellEnd"/>
      <w:r w:rsidRPr="00B05551">
        <w:rPr>
          <w:rFonts w:ascii="Times New Roman" w:hAnsi="Times New Roman"/>
          <w:sz w:val="20"/>
          <w:szCs w:val="24"/>
        </w:rPr>
        <w:t xml:space="preserve">, </w:t>
      </w:r>
      <w:r w:rsidRPr="00B05551">
        <w:rPr>
          <w:rFonts w:ascii="Times New Roman" w:hAnsi="Times New Roman"/>
          <w:sz w:val="20"/>
          <w:szCs w:val="24"/>
          <w:vertAlign w:val="superscript"/>
        </w:rPr>
        <w:t>1</w:t>
      </w:r>
      <w:r w:rsidRPr="00B05551">
        <w:rPr>
          <w:rFonts w:ascii="Times New Roman" w:hAnsi="Times New Roman"/>
          <w:sz w:val="20"/>
          <w:szCs w:val="24"/>
        </w:rPr>
        <w:t xml:space="preserve">Navindra </w:t>
      </w:r>
      <w:proofErr w:type="spellStart"/>
      <w:r w:rsidRPr="00B05551">
        <w:rPr>
          <w:rFonts w:ascii="Times New Roman" w:hAnsi="Times New Roman"/>
          <w:sz w:val="20"/>
          <w:szCs w:val="24"/>
        </w:rPr>
        <w:t>Kumari</w:t>
      </w:r>
      <w:proofErr w:type="spellEnd"/>
      <w:r w:rsidRPr="00B05551">
        <w:rPr>
          <w:rFonts w:ascii="Times New Roman" w:hAnsi="Times New Roman"/>
          <w:sz w:val="20"/>
          <w:szCs w:val="24"/>
        </w:rPr>
        <w:t xml:space="preserve"> </w:t>
      </w:r>
      <w:proofErr w:type="spellStart"/>
      <w:r w:rsidRPr="00B05551">
        <w:rPr>
          <w:rFonts w:ascii="Times New Roman" w:hAnsi="Times New Roman"/>
          <w:sz w:val="20"/>
          <w:szCs w:val="24"/>
        </w:rPr>
        <w:t>Palanisamy</w:t>
      </w:r>
      <w:proofErr w:type="spellEnd"/>
      <w:r w:rsidRPr="00B05551">
        <w:rPr>
          <w:rFonts w:ascii="Times New Roman" w:hAnsi="Times New Roman"/>
          <w:sz w:val="20"/>
          <w:szCs w:val="24"/>
        </w:rPr>
        <w:t xml:space="preserve">, </w:t>
      </w:r>
      <w:r w:rsidRPr="00B05551">
        <w:rPr>
          <w:rFonts w:ascii="Times New Roman" w:hAnsi="Times New Roman"/>
          <w:sz w:val="20"/>
          <w:szCs w:val="24"/>
          <w:vertAlign w:val="superscript"/>
        </w:rPr>
        <w:t>1</w:t>
      </w:r>
      <w:r w:rsidRPr="00B05551">
        <w:rPr>
          <w:rFonts w:ascii="Times New Roman" w:hAnsi="Times New Roman"/>
          <w:sz w:val="20"/>
          <w:szCs w:val="24"/>
        </w:rPr>
        <w:t xml:space="preserve">Annamalai Chandra </w:t>
      </w:r>
      <w:proofErr w:type="spellStart"/>
      <w:r w:rsidRPr="00B05551">
        <w:rPr>
          <w:rFonts w:ascii="Times New Roman" w:hAnsi="Times New Roman"/>
          <w:sz w:val="20"/>
          <w:szCs w:val="24"/>
        </w:rPr>
        <w:t>Mouli</w:t>
      </w:r>
      <w:proofErr w:type="spellEnd"/>
      <w:r w:rsidRPr="00B05551">
        <w:rPr>
          <w:rFonts w:ascii="Times New Roman" w:hAnsi="Times New Roman"/>
          <w:sz w:val="20"/>
          <w:szCs w:val="24"/>
        </w:rPr>
        <w:t xml:space="preserve">, </w:t>
      </w:r>
      <w:r w:rsidRPr="00B05551">
        <w:rPr>
          <w:rFonts w:ascii="Times New Roman" w:hAnsi="Times New Roman"/>
          <w:sz w:val="20"/>
          <w:szCs w:val="24"/>
          <w:vertAlign w:val="superscript"/>
        </w:rPr>
        <w:t>1</w:t>
      </w:r>
      <w:r w:rsidRPr="00B05551">
        <w:rPr>
          <w:rFonts w:ascii="Times New Roman" w:hAnsi="Times New Roman"/>
          <w:sz w:val="20"/>
          <w:szCs w:val="24"/>
        </w:rPr>
        <w:t xml:space="preserve">Jamal </w:t>
      </w:r>
      <w:proofErr w:type="spellStart"/>
      <w:r w:rsidRPr="00B05551">
        <w:rPr>
          <w:rFonts w:ascii="Times New Roman" w:hAnsi="Times New Roman"/>
          <w:sz w:val="20"/>
          <w:szCs w:val="24"/>
        </w:rPr>
        <w:t>Houssaini</w:t>
      </w:r>
      <w:proofErr w:type="spellEnd"/>
    </w:p>
    <w:p w:rsidR="00E55C30" w:rsidRPr="00B05551" w:rsidRDefault="00E55C30" w:rsidP="00E55C30">
      <w:pPr>
        <w:spacing w:before="10" w:after="10" w:line="240" w:lineRule="auto"/>
        <w:ind w:left="720" w:right="720"/>
        <w:jc w:val="center"/>
        <w:rPr>
          <w:rFonts w:ascii="Times New Roman" w:hAnsi="Times New Roman"/>
          <w:sz w:val="24"/>
          <w:szCs w:val="20"/>
        </w:rPr>
      </w:pPr>
    </w:p>
    <w:p w:rsidR="00E55C30" w:rsidRPr="00E01D5A" w:rsidRDefault="00E55C30" w:rsidP="00E55C30">
      <w:pPr>
        <w:spacing w:before="10" w:after="10" w:line="240" w:lineRule="auto"/>
        <w:ind w:left="720" w:right="720"/>
        <w:jc w:val="center"/>
        <w:rPr>
          <w:rFonts w:ascii="Times New Roman" w:hAnsi="Times New Roman"/>
          <w:i/>
          <w:sz w:val="16"/>
          <w:szCs w:val="16"/>
        </w:rPr>
      </w:pPr>
      <w:proofErr w:type="gramStart"/>
      <w:r w:rsidRPr="00B05551">
        <w:rPr>
          <w:rFonts w:ascii="Times New Roman" w:hAnsi="Times New Roman"/>
          <w:i/>
          <w:sz w:val="16"/>
          <w:szCs w:val="16"/>
          <w:vertAlign w:val="superscript"/>
        </w:rPr>
        <w:t>1</w:t>
      </w:r>
      <w:r w:rsidRPr="00B05551">
        <w:rPr>
          <w:rFonts w:ascii="Times New Roman" w:hAnsi="Times New Roman"/>
          <w:i/>
          <w:sz w:val="16"/>
          <w:szCs w:val="16"/>
        </w:rPr>
        <w:t xml:space="preserve">Faculty of Medicine, </w:t>
      </w:r>
      <w:proofErr w:type="spellStart"/>
      <w:r w:rsidRPr="00B05551">
        <w:rPr>
          <w:rFonts w:ascii="Times New Roman" w:hAnsi="Times New Roman"/>
          <w:i/>
          <w:sz w:val="16"/>
          <w:szCs w:val="16"/>
        </w:rPr>
        <w:t>Universiti</w:t>
      </w:r>
      <w:proofErr w:type="spellEnd"/>
      <w:r w:rsidRPr="00B05551">
        <w:rPr>
          <w:rFonts w:ascii="Times New Roman" w:hAnsi="Times New Roman"/>
          <w:i/>
          <w:sz w:val="16"/>
          <w:szCs w:val="16"/>
        </w:rPr>
        <w:t xml:space="preserve"> </w:t>
      </w:r>
      <w:proofErr w:type="spellStart"/>
      <w:r w:rsidRPr="00B05551">
        <w:rPr>
          <w:rFonts w:ascii="Times New Roman" w:hAnsi="Times New Roman"/>
          <w:i/>
          <w:sz w:val="16"/>
          <w:szCs w:val="16"/>
        </w:rPr>
        <w:t>Teknologi</w:t>
      </w:r>
      <w:proofErr w:type="spellEnd"/>
      <w:r w:rsidRPr="00B05551">
        <w:rPr>
          <w:rFonts w:ascii="Times New Roman" w:hAnsi="Times New Roman"/>
          <w:i/>
          <w:sz w:val="16"/>
          <w:szCs w:val="16"/>
        </w:rPr>
        <w:t xml:space="preserve"> MARA, 47000 Sungai </w:t>
      </w:r>
      <w:proofErr w:type="spellStart"/>
      <w:r w:rsidRPr="00B05551">
        <w:rPr>
          <w:rFonts w:ascii="Times New Roman" w:hAnsi="Times New Roman"/>
          <w:i/>
          <w:sz w:val="16"/>
          <w:szCs w:val="16"/>
        </w:rPr>
        <w:t>Buloh</w:t>
      </w:r>
      <w:proofErr w:type="spellEnd"/>
      <w:r w:rsidRPr="00B05551">
        <w:rPr>
          <w:rFonts w:ascii="Times New Roman" w:hAnsi="Times New Roman"/>
          <w:i/>
          <w:sz w:val="16"/>
          <w:szCs w:val="16"/>
        </w:rPr>
        <w:t>, Selangor.</w:t>
      </w:r>
      <w:proofErr w:type="gramEnd"/>
    </w:p>
    <w:p w:rsidR="00E55C30" w:rsidRPr="00B05551" w:rsidRDefault="00E55C30" w:rsidP="00E55C30">
      <w:pPr>
        <w:spacing w:before="10" w:after="10" w:line="240" w:lineRule="auto"/>
        <w:ind w:left="720" w:right="720"/>
        <w:rPr>
          <w:rFonts w:ascii="Times New Roman" w:hAnsi="Times New Roman"/>
          <w:i/>
          <w:sz w:val="24"/>
          <w:szCs w:val="16"/>
        </w:rPr>
      </w:pPr>
    </w:p>
    <w:p w:rsidR="00E55C30" w:rsidRDefault="00E55C30" w:rsidP="00E55C30">
      <w:pPr>
        <w:tabs>
          <w:tab w:val="left" w:pos="567"/>
          <w:tab w:val="left" w:pos="851"/>
        </w:tabs>
        <w:spacing w:before="10" w:after="10" w:line="240" w:lineRule="auto"/>
        <w:ind w:left="720" w:right="720"/>
        <w:jc w:val="center"/>
        <w:rPr>
          <w:rFonts w:ascii="Times New Roman" w:hAnsi="Times New Roman"/>
          <w:b/>
          <w:sz w:val="24"/>
          <w:szCs w:val="24"/>
        </w:rPr>
      </w:pPr>
      <w:r w:rsidRPr="00E01D5A">
        <w:rPr>
          <w:rFonts w:ascii="Times New Roman" w:hAnsi="Times New Roman"/>
          <w:b/>
          <w:sz w:val="24"/>
          <w:szCs w:val="24"/>
        </w:rPr>
        <w:t>ABSTRACT</w:t>
      </w:r>
    </w:p>
    <w:p w:rsidR="00E55C30" w:rsidRDefault="00E55C30" w:rsidP="00E55C30">
      <w:pPr>
        <w:tabs>
          <w:tab w:val="left" w:pos="567"/>
          <w:tab w:val="left" w:pos="851"/>
        </w:tabs>
        <w:spacing w:before="10" w:after="10" w:line="240" w:lineRule="auto"/>
        <w:ind w:left="720" w:right="720"/>
        <w:jc w:val="center"/>
        <w:rPr>
          <w:rFonts w:ascii="Times New Roman" w:hAnsi="Times New Roman"/>
          <w:b/>
          <w:sz w:val="24"/>
          <w:szCs w:val="24"/>
        </w:rPr>
      </w:pPr>
    </w:p>
    <w:p w:rsidR="00E55C30" w:rsidRDefault="00E55C30" w:rsidP="00E55C30">
      <w:pPr>
        <w:tabs>
          <w:tab w:val="left" w:pos="567"/>
          <w:tab w:val="left" w:pos="851"/>
        </w:tabs>
        <w:spacing w:before="10" w:after="10" w:line="240" w:lineRule="auto"/>
        <w:ind w:left="720" w:right="720"/>
        <w:jc w:val="center"/>
        <w:rPr>
          <w:rFonts w:ascii="Times New Roman" w:hAnsi="Times New Roman"/>
          <w:b/>
          <w:sz w:val="24"/>
          <w:szCs w:val="24"/>
        </w:rPr>
      </w:pPr>
    </w:p>
    <w:p w:rsidR="00E55C30" w:rsidRPr="00B05551" w:rsidRDefault="00E55C30" w:rsidP="00E55C30">
      <w:pPr>
        <w:tabs>
          <w:tab w:val="left" w:pos="567"/>
          <w:tab w:val="left" w:pos="851"/>
        </w:tabs>
        <w:spacing w:before="10" w:after="10" w:line="240" w:lineRule="auto"/>
        <w:ind w:left="720" w:right="720"/>
        <w:jc w:val="both"/>
        <w:rPr>
          <w:rFonts w:ascii="Times New Roman" w:hAnsi="Times New Roman"/>
          <w:sz w:val="24"/>
          <w:szCs w:val="24"/>
        </w:rPr>
      </w:pPr>
      <w:r w:rsidRPr="00B05551">
        <w:rPr>
          <w:rFonts w:ascii="Times New Roman" w:hAnsi="Times New Roman"/>
          <w:sz w:val="24"/>
          <w:szCs w:val="24"/>
        </w:rPr>
        <w:t xml:space="preserve">Helicobacter pylori (H. pylori) infection causes various gastrointestinal diseases including gastritis, peptic ulcer and gastric carcinoma. Numerous detection methods have been used for the presence of H. pylori in gastric </w:t>
      </w:r>
      <w:proofErr w:type="gramStart"/>
      <w:r w:rsidRPr="00B05551">
        <w:rPr>
          <w:rFonts w:ascii="Times New Roman" w:hAnsi="Times New Roman"/>
          <w:sz w:val="24"/>
          <w:szCs w:val="24"/>
        </w:rPr>
        <w:t>biopsy,</w:t>
      </w:r>
      <w:proofErr w:type="gramEnd"/>
      <w:r w:rsidRPr="00B05551">
        <w:rPr>
          <w:rFonts w:ascii="Times New Roman" w:hAnsi="Times New Roman"/>
          <w:sz w:val="24"/>
          <w:szCs w:val="24"/>
        </w:rPr>
        <w:t xml:space="preserve"> however, each of them has certain advantages and disadvantages. Both sensitivity and specificity are required for the accurate diagnosis of H. pylori infection. This study therefore examined for H. pylori using three different methods in 40 samples of gastric biopsies collected from </w:t>
      </w:r>
      <w:proofErr w:type="spellStart"/>
      <w:r w:rsidRPr="00B05551">
        <w:rPr>
          <w:rFonts w:ascii="Times New Roman" w:hAnsi="Times New Roman"/>
          <w:sz w:val="24"/>
          <w:szCs w:val="24"/>
        </w:rPr>
        <w:t>Universiti</w:t>
      </w:r>
      <w:proofErr w:type="spellEnd"/>
      <w:r w:rsidRPr="00B05551">
        <w:rPr>
          <w:rFonts w:ascii="Times New Roman" w:hAnsi="Times New Roman"/>
          <w:sz w:val="24"/>
          <w:szCs w:val="24"/>
        </w:rPr>
        <w:t xml:space="preserve"> </w:t>
      </w:r>
      <w:proofErr w:type="spellStart"/>
      <w:r w:rsidRPr="00B05551">
        <w:rPr>
          <w:rFonts w:ascii="Times New Roman" w:hAnsi="Times New Roman"/>
          <w:sz w:val="24"/>
          <w:szCs w:val="24"/>
        </w:rPr>
        <w:t>Teknologi</w:t>
      </w:r>
      <w:proofErr w:type="spellEnd"/>
      <w:r w:rsidRPr="00B05551">
        <w:rPr>
          <w:rFonts w:ascii="Times New Roman" w:hAnsi="Times New Roman"/>
          <w:sz w:val="24"/>
          <w:szCs w:val="24"/>
        </w:rPr>
        <w:t xml:space="preserve"> MARA (</w:t>
      </w:r>
      <w:proofErr w:type="spellStart"/>
      <w:r w:rsidRPr="00B05551">
        <w:rPr>
          <w:rFonts w:ascii="Times New Roman" w:hAnsi="Times New Roman"/>
          <w:sz w:val="24"/>
          <w:szCs w:val="24"/>
        </w:rPr>
        <w:t>UiTM</w:t>
      </w:r>
      <w:proofErr w:type="spellEnd"/>
      <w:r w:rsidRPr="00B05551">
        <w:rPr>
          <w:rFonts w:ascii="Times New Roman" w:hAnsi="Times New Roman"/>
          <w:sz w:val="24"/>
          <w:szCs w:val="24"/>
        </w:rPr>
        <w:t xml:space="preserve">), Sungai </w:t>
      </w:r>
      <w:proofErr w:type="spellStart"/>
      <w:r w:rsidRPr="00B05551">
        <w:rPr>
          <w:rFonts w:ascii="Times New Roman" w:hAnsi="Times New Roman"/>
          <w:sz w:val="24"/>
          <w:szCs w:val="24"/>
        </w:rPr>
        <w:t>Buloh</w:t>
      </w:r>
      <w:proofErr w:type="spellEnd"/>
      <w:r w:rsidRPr="00B05551">
        <w:rPr>
          <w:rFonts w:ascii="Times New Roman" w:hAnsi="Times New Roman"/>
          <w:sz w:val="24"/>
          <w:szCs w:val="24"/>
        </w:rPr>
        <w:t xml:space="preserve">, Selangor. Three methods were used, </w:t>
      </w:r>
      <w:proofErr w:type="spellStart"/>
      <w:r w:rsidRPr="00B05551">
        <w:rPr>
          <w:rFonts w:ascii="Times New Roman" w:hAnsi="Times New Roman"/>
          <w:sz w:val="24"/>
          <w:szCs w:val="24"/>
        </w:rPr>
        <w:t>urease</w:t>
      </w:r>
      <w:proofErr w:type="spellEnd"/>
      <w:r w:rsidRPr="00B05551">
        <w:rPr>
          <w:rFonts w:ascii="Times New Roman" w:hAnsi="Times New Roman"/>
          <w:sz w:val="24"/>
          <w:szCs w:val="24"/>
        </w:rPr>
        <w:t xml:space="preserve"> test of the gastric biopsies, bacteria isolation culture and molecular identification by polymerase chain reaction (PCR). It was obtained that 43% (17/40) were positive by </w:t>
      </w:r>
      <w:proofErr w:type="spellStart"/>
      <w:r w:rsidRPr="00B05551">
        <w:rPr>
          <w:rFonts w:ascii="Times New Roman" w:hAnsi="Times New Roman"/>
          <w:sz w:val="24"/>
          <w:szCs w:val="24"/>
        </w:rPr>
        <w:t>urease</w:t>
      </w:r>
      <w:proofErr w:type="spellEnd"/>
      <w:r w:rsidRPr="00B05551">
        <w:rPr>
          <w:rFonts w:ascii="Times New Roman" w:hAnsi="Times New Roman"/>
          <w:sz w:val="24"/>
          <w:szCs w:val="24"/>
        </w:rPr>
        <w:t xml:space="preserve"> test, 13% (5/40) by culture, and 70% (28/40) by PCR of the 40 gastric biopsies sample. </w:t>
      </w:r>
      <w:proofErr w:type="spellStart"/>
      <w:r w:rsidRPr="00B05551">
        <w:rPr>
          <w:rFonts w:ascii="Times New Roman" w:hAnsi="Times New Roman"/>
          <w:sz w:val="24"/>
          <w:szCs w:val="24"/>
        </w:rPr>
        <w:t>Colour</w:t>
      </w:r>
      <w:proofErr w:type="spellEnd"/>
      <w:r w:rsidRPr="00B05551">
        <w:rPr>
          <w:rFonts w:ascii="Times New Roman" w:hAnsi="Times New Roman"/>
          <w:sz w:val="24"/>
          <w:szCs w:val="24"/>
        </w:rPr>
        <w:t xml:space="preserve"> changes from yellow to pink indicated positive of </w:t>
      </w:r>
      <w:proofErr w:type="spellStart"/>
      <w:r w:rsidRPr="00B05551">
        <w:rPr>
          <w:rFonts w:ascii="Times New Roman" w:hAnsi="Times New Roman"/>
          <w:sz w:val="24"/>
          <w:szCs w:val="24"/>
        </w:rPr>
        <w:t>urease</w:t>
      </w:r>
      <w:proofErr w:type="spellEnd"/>
      <w:r w:rsidRPr="00B05551">
        <w:rPr>
          <w:rFonts w:ascii="Times New Roman" w:hAnsi="Times New Roman"/>
          <w:sz w:val="24"/>
          <w:szCs w:val="24"/>
        </w:rPr>
        <w:t xml:space="preserve"> test. </w:t>
      </w:r>
      <w:proofErr w:type="gramStart"/>
      <w:r w:rsidRPr="00B05551">
        <w:rPr>
          <w:rFonts w:ascii="Times New Roman" w:hAnsi="Times New Roman"/>
          <w:sz w:val="24"/>
          <w:szCs w:val="24"/>
        </w:rPr>
        <w:t>Whilst the bacteria growth culture were small, circular and smooth colonies.</w:t>
      </w:r>
      <w:proofErr w:type="gramEnd"/>
      <w:r w:rsidRPr="00B05551">
        <w:rPr>
          <w:rFonts w:ascii="Times New Roman" w:hAnsi="Times New Roman"/>
          <w:sz w:val="24"/>
          <w:szCs w:val="24"/>
        </w:rPr>
        <w:t xml:space="preserve"> Samples were tested for presence of H. pylori using specific primers by PCR and were identified as H. pylori. Among the three methods used, PCR showed highest sensitivity and specificity in H. pylori detection. Hence, it can be the most useful diagnosis of H. pylori especially for species identification and confirmation.</w:t>
      </w:r>
    </w:p>
    <w:p w:rsidR="005F50B0" w:rsidRPr="00E55C30" w:rsidRDefault="005F50B0" w:rsidP="00E55C30"/>
    <w:sectPr w:rsidR="005F50B0" w:rsidRPr="00E55C30"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30792F"/>
    <w:rsid w:val="005F50B0"/>
    <w:rsid w:val="00764AD8"/>
    <w:rsid w:val="00E55C30"/>
    <w:rsid w:val="00EC2558"/>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2017-11-08T06:09:00Z</dcterms:created>
  <dcterms:modified xsi:type="dcterms:W3CDTF">2017-11-08T06:09:00Z</dcterms:modified>
</cp:coreProperties>
</file>