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9" w:rsidRPr="00E01D5A" w:rsidRDefault="002B4529" w:rsidP="002B4529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YIA-NC5</w:t>
      </w:r>
    </w:p>
    <w:p w:rsidR="002B4529" w:rsidRPr="00E01D5A" w:rsidRDefault="002B4529" w:rsidP="002B4529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2B4529" w:rsidRPr="00E01D5A" w:rsidRDefault="002B4529" w:rsidP="002B452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2B4529" w:rsidRPr="00E01D5A" w:rsidRDefault="002B4529" w:rsidP="002B452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2B4529" w:rsidRPr="00E01D5A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2B4529" w:rsidRPr="00E01D5A" w:rsidRDefault="002B4529" w:rsidP="002B452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B4529" w:rsidRPr="00E01D5A" w:rsidRDefault="002B4529" w:rsidP="002B452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B4529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B05551">
        <w:rPr>
          <w:rFonts w:ascii="Times New Roman" w:hAnsi="Times New Roman"/>
          <w:b/>
          <w:sz w:val="24"/>
          <w:szCs w:val="24"/>
        </w:rPr>
        <w:t>Mutations in KIF27, GNAS and IFT140 genes are associated with VACTERL association</w:t>
      </w:r>
    </w:p>
    <w:p w:rsidR="002B4529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2B4529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r w:rsidRPr="00B05551">
        <w:rPr>
          <w:rFonts w:ascii="Times New Roman" w:hAnsi="Times New Roman"/>
          <w:sz w:val="20"/>
          <w:szCs w:val="24"/>
          <w:vertAlign w:val="superscript"/>
        </w:rPr>
        <w:t>1</w:t>
      </w:r>
      <w:r w:rsidRPr="00B05551">
        <w:rPr>
          <w:rFonts w:ascii="Times New Roman" w:hAnsi="Times New Roman"/>
          <w:sz w:val="20"/>
          <w:szCs w:val="24"/>
        </w:rPr>
        <w:t xml:space="preserve">Siti </w:t>
      </w:r>
      <w:proofErr w:type="spellStart"/>
      <w:r w:rsidRPr="00B05551">
        <w:rPr>
          <w:rFonts w:ascii="Times New Roman" w:hAnsi="Times New Roman"/>
          <w:sz w:val="20"/>
          <w:szCs w:val="24"/>
        </w:rPr>
        <w:t>Aishah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0"/>
          <w:szCs w:val="24"/>
        </w:rPr>
        <w:t>Sulaiman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*,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1</w:t>
      </w:r>
      <w:r w:rsidRPr="00B05551">
        <w:rPr>
          <w:rFonts w:ascii="Times New Roman" w:hAnsi="Times New Roman"/>
          <w:sz w:val="20"/>
          <w:szCs w:val="24"/>
        </w:rPr>
        <w:t xml:space="preserve">Nor </w:t>
      </w:r>
      <w:proofErr w:type="spellStart"/>
      <w:r w:rsidRPr="00B05551">
        <w:rPr>
          <w:rFonts w:ascii="Times New Roman" w:hAnsi="Times New Roman"/>
          <w:sz w:val="20"/>
          <w:szCs w:val="24"/>
        </w:rPr>
        <w:t>Azian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Abdul </w:t>
      </w:r>
      <w:proofErr w:type="spellStart"/>
      <w:r w:rsidRPr="00B05551">
        <w:rPr>
          <w:rFonts w:ascii="Times New Roman" w:hAnsi="Times New Roman"/>
          <w:sz w:val="20"/>
          <w:szCs w:val="24"/>
        </w:rPr>
        <w:t>Murad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1</w:t>
      </w:r>
      <w:r w:rsidRPr="00B05551">
        <w:rPr>
          <w:rFonts w:ascii="Times New Roman" w:hAnsi="Times New Roman"/>
          <w:sz w:val="20"/>
          <w:szCs w:val="24"/>
        </w:rPr>
        <w:t xml:space="preserve">Chow </w:t>
      </w:r>
      <w:proofErr w:type="spellStart"/>
      <w:r w:rsidRPr="00B05551">
        <w:rPr>
          <w:rFonts w:ascii="Times New Roman" w:hAnsi="Times New Roman"/>
          <w:sz w:val="20"/>
          <w:szCs w:val="24"/>
        </w:rPr>
        <w:t>Yock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Ping,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1</w:t>
      </w:r>
      <w:r w:rsidRPr="00B05551">
        <w:rPr>
          <w:rFonts w:ascii="Times New Roman" w:hAnsi="Times New Roman"/>
          <w:sz w:val="20"/>
          <w:szCs w:val="24"/>
        </w:rPr>
        <w:t xml:space="preserve">Zam </w:t>
      </w:r>
      <w:proofErr w:type="spellStart"/>
      <w:r w:rsidRPr="00B05551">
        <w:rPr>
          <w:rFonts w:ascii="Times New Roman" w:hAnsi="Times New Roman"/>
          <w:sz w:val="20"/>
          <w:szCs w:val="24"/>
        </w:rPr>
        <w:t>Zureena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0"/>
          <w:szCs w:val="24"/>
        </w:rPr>
        <w:t>Mohd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0"/>
          <w:szCs w:val="24"/>
        </w:rPr>
        <w:t>Rani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2</w:t>
      </w:r>
      <w:r w:rsidRPr="00B05551">
        <w:rPr>
          <w:rFonts w:ascii="Times New Roman" w:hAnsi="Times New Roman"/>
          <w:sz w:val="20"/>
          <w:szCs w:val="24"/>
        </w:rPr>
        <w:t xml:space="preserve">Salwati </w:t>
      </w:r>
      <w:proofErr w:type="spellStart"/>
      <w:r w:rsidRPr="00B05551">
        <w:rPr>
          <w:rFonts w:ascii="Times New Roman" w:hAnsi="Times New Roman"/>
          <w:sz w:val="20"/>
          <w:szCs w:val="24"/>
        </w:rPr>
        <w:t>Shuib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3</w:t>
      </w:r>
      <w:r w:rsidRPr="00B05551">
        <w:rPr>
          <w:rFonts w:ascii="Times New Roman" w:hAnsi="Times New Roman"/>
          <w:sz w:val="20"/>
          <w:szCs w:val="24"/>
        </w:rPr>
        <w:t xml:space="preserve">Dayang Anita A. Aziz,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3</w:t>
      </w:r>
      <w:r w:rsidRPr="00B05551">
        <w:rPr>
          <w:rFonts w:ascii="Times New Roman" w:hAnsi="Times New Roman"/>
          <w:sz w:val="20"/>
          <w:szCs w:val="24"/>
        </w:rPr>
        <w:t xml:space="preserve">Hana </w:t>
      </w:r>
      <w:proofErr w:type="spellStart"/>
      <w:r w:rsidRPr="00B05551">
        <w:rPr>
          <w:rFonts w:ascii="Times New Roman" w:hAnsi="Times New Roman"/>
          <w:sz w:val="20"/>
          <w:szCs w:val="24"/>
        </w:rPr>
        <w:t>Azhari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4</w:t>
      </w:r>
      <w:r w:rsidRPr="00B05551">
        <w:rPr>
          <w:rFonts w:ascii="Times New Roman" w:hAnsi="Times New Roman"/>
          <w:sz w:val="20"/>
          <w:szCs w:val="24"/>
        </w:rPr>
        <w:t xml:space="preserve">Sharifah </w:t>
      </w:r>
      <w:proofErr w:type="spellStart"/>
      <w:r w:rsidRPr="00B05551">
        <w:rPr>
          <w:rFonts w:ascii="Times New Roman" w:hAnsi="Times New Roman"/>
          <w:sz w:val="20"/>
          <w:szCs w:val="24"/>
        </w:rPr>
        <w:t>Azween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0"/>
          <w:szCs w:val="24"/>
        </w:rPr>
        <w:t>Syed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 Omar,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4</w:t>
      </w:r>
      <w:r w:rsidRPr="00B05551">
        <w:rPr>
          <w:rFonts w:ascii="Times New Roman" w:hAnsi="Times New Roman"/>
          <w:sz w:val="20"/>
          <w:szCs w:val="24"/>
        </w:rPr>
        <w:t xml:space="preserve">Zarina Abdul </w:t>
      </w:r>
      <w:proofErr w:type="spellStart"/>
      <w:r w:rsidRPr="00B05551">
        <w:rPr>
          <w:rFonts w:ascii="Times New Roman" w:hAnsi="Times New Roman"/>
          <w:sz w:val="20"/>
          <w:szCs w:val="24"/>
        </w:rPr>
        <w:t>Latiff</w:t>
      </w:r>
      <w:proofErr w:type="spellEnd"/>
      <w:r w:rsidRPr="00B05551">
        <w:rPr>
          <w:rFonts w:ascii="Times New Roman" w:hAnsi="Times New Roman"/>
          <w:sz w:val="20"/>
          <w:szCs w:val="24"/>
        </w:rPr>
        <w:t xml:space="preserve">, </w:t>
      </w:r>
      <w:r w:rsidRPr="00B05551">
        <w:rPr>
          <w:rFonts w:ascii="Times New Roman" w:hAnsi="Times New Roman"/>
          <w:sz w:val="20"/>
          <w:szCs w:val="24"/>
          <w:vertAlign w:val="superscript"/>
        </w:rPr>
        <w:t>1,4</w:t>
      </w:r>
      <w:r w:rsidRPr="00B05551">
        <w:rPr>
          <w:rFonts w:ascii="Times New Roman" w:hAnsi="Times New Roman"/>
          <w:sz w:val="20"/>
          <w:szCs w:val="24"/>
        </w:rPr>
        <w:t>Rahman Jamal</w:t>
      </w:r>
    </w:p>
    <w:p w:rsidR="002B4529" w:rsidRPr="00B05551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</w:rPr>
      </w:pPr>
    </w:p>
    <w:p w:rsidR="002B4529" w:rsidRPr="00B05551" w:rsidRDefault="002B4529" w:rsidP="002B4529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r w:rsidRPr="00B05551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B05551">
        <w:rPr>
          <w:rFonts w:ascii="Times New Roman" w:hAnsi="Times New Roman"/>
          <w:i/>
          <w:sz w:val="16"/>
          <w:szCs w:val="16"/>
        </w:rPr>
        <w:t xml:space="preserve">UKM Medical Molecular Biology Institute (UMBI),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Latif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, 56000,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, Kuala Lumpur </w:t>
      </w:r>
      <w:r w:rsidRPr="00B05551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B05551">
        <w:rPr>
          <w:rFonts w:ascii="Times New Roman" w:hAnsi="Times New Roman"/>
          <w:i/>
          <w:sz w:val="16"/>
          <w:szCs w:val="16"/>
        </w:rPr>
        <w:t xml:space="preserve">Department of Pathology, </w:t>
      </w:r>
      <w:r w:rsidRPr="00B05551">
        <w:rPr>
          <w:rFonts w:ascii="Times New Roman" w:hAnsi="Times New Roman"/>
          <w:i/>
          <w:sz w:val="16"/>
          <w:szCs w:val="16"/>
          <w:vertAlign w:val="superscript"/>
        </w:rPr>
        <w:t>3</w:t>
      </w:r>
      <w:r w:rsidRPr="00B05551">
        <w:rPr>
          <w:rFonts w:ascii="Times New Roman" w:hAnsi="Times New Roman"/>
          <w:i/>
          <w:sz w:val="16"/>
          <w:szCs w:val="16"/>
        </w:rPr>
        <w:t xml:space="preserve">Department of Surgery, </w:t>
      </w:r>
      <w:r w:rsidRPr="00B05551">
        <w:rPr>
          <w:rFonts w:ascii="Times New Roman" w:hAnsi="Times New Roman"/>
          <w:i/>
          <w:sz w:val="16"/>
          <w:szCs w:val="16"/>
          <w:vertAlign w:val="superscript"/>
        </w:rPr>
        <w:t>4</w:t>
      </w:r>
      <w:r w:rsidRPr="00B05551">
        <w:rPr>
          <w:rFonts w:ascii="Times New Roman" w:hAnsi="Times New Roman"/>
          <w:i/>
          <w:sz w:val="16"/>
          <w:szCs w:val="16"/>
        </w:rPr>
        <w:t xml:space="preserve">Department of Pediatrics, Faculty of Medicine,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Kebangsaan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 Malaysia Medical Centre,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JalanYaacob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Latif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 xml:space="preserve">, 56000, </w:t>
      </w:r>
      <w:proofErr w:type="spellStart"/>
      <w:r w:rsidRPr="00B05551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B05551">
        <w:rPr>
          <w:rFonts w:ascii="Times New Roman" w:hAnsi="Times New Roman"/>
          <w:i/>
          <w:sz w:val="16"/>
          <w:szCs w:val="16"/>
        </w:rPr>
        <w:t>, Kuala Lumpur</w:t>
      </w:r>
    </w:p>
    <w:p w:rsidR="002B4529" w:rsidRPr="00B05551" w:rsidRDefault="002B4529" w:rsidP="002B4529">
      <w:pPr>
        <w:spacing w:before="10" w:after="10" w:line="240" w:lineRule="auto"/>
        <w:ind w:left="720" w:right="720"/>
        <w:rPr>
          <w:rFonts w:ascii="Times New Roman" w:hAnsi="Times New Roman"/>
          <w:i/>
          <w:sz w:val="24"/>
          <w:szCs w:val="16"/>
        </w:rPr>
      </w:pPr>
    </w:p>
    <w:p w:rsidR="002B4529" w:rsidRDefault="002B4529" w:rsidP="002B452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2B4529" w:rsidRDefault="002B4529" w:rsidP="002B452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2B4529" w:rsidRDefault="002B4529" w:rsidP="002B452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2B4529" w:rsidRPr="00B05551" w:rsidRDefault="002B4529" w:rsidP="002B452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B05551">
        <w:rPr>
          <w:rFonts w:ascii="Times New Roman" w:hAnsi="Times New Roman"/>
          <w:sz w:val="24"/>
          <w:szCs w:val="24"/>
        </w:rPr>
        <w:t xml:space="preserve">VACTERL association (OMIM #192350) is a rare genetic disorder involving at least three congenital malformations from multiple organ systems. VACTERL stands for vertebral defects (V), </w:t>
      </w:r>
      <w:proofErr w:type="spellStart"/>
      <w:r w:rsidRPr="00B05551">
        <w:rPr>
          <w:rFonts w:ascii="Times New Roman" w:hAnsi="Times New Roman"/>
          <w:sz w:val="24"/>
          <w:szCs w:val="24"/>
        </w:rPr>
        <w:t>anorectal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4"/>
          <w:szCs w:val="24"/>
        </w:rPr>
        <w:t>atresis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(A), cardiac defects (C), trachea-</w:t>
      </w:r>
      <w:proofErr w:type="spellStart"/>
      <w:r w:rsidRPr="00B05551">
        <w:rPr>
          <w:rFonts w:ascii="Times New Roman" w:hAnsi="Times New Roman"/>
          <w:sz w:val="24"/>
          <w:szCs w:val="24"/>
        </w:rPr>
        <w:t>oesophageal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fistula with or without </w:t>
      </w:r>
      <w:proofErr w:type="spellStart"/>
      <w:r w:rsidRPr="00B05551">
        <w:rPr>
          <w:rFonts w:ascii="Times New Roman" w:hAnsi="Times New Roman"/>
          <w:sz w:val="24"/>
          <w:szCs w:val="24"/>
        </w:rPr>
        <w:t>oesophageal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551">
        <w:rPr>
          <w:rFonts w:ascii="Times New Roman" w:hAnsi="Times New Roman"/>
          <w:sz w:val="24"/>
          <w:szCs w:val="24"/>
        </w:rPr>
        <w:t>atresia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(TE), renal anomalies (R) and limb abnormalities (L). Until now, the </w:t>
      </w:r>
      <w:proofErr w:type="spellStart"/>
      <w:r w:rsidRPr="00B05551">
        <w:rPr>
          <w:rFonts w:ascii="Times New Roman" w:hAnsi="Times New Roman"/>
          <w:sz w:val="24"/>
          <w:szCs w:val="24"/>
        </w:rPr>
        <w:t>aetiology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of VACTERL association is unknown, particularly at the molecular level. Therefore, we aimed to profile the mutations involved in a patient with VACTERL association via whole </w:t>
      </w:r>
      <w:proofErr w:type="spellStart"/>
      <w:r w:rsidRPr="00B05551">
        <w:rPr>
          <w:rFonts w:ascii="Times New Roman" w:hAnsi="Times New Roman"/>
          <w:sz w:val="24"/>
          <w:szCs w:val="24"/>
        </w:rPr>
        <w:t>exome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sequencing (WES).  An infant girl was delivered premature at 30 weeks and had 4/6 of the VACTERL malformations. Trio-WES analysis was performed in the patient and her parents. The </w:t>
      </w:r>
      <w:proofErr w:type="spellStart"/>
      <w:r w:rsidRPr="00B05551">
        <w:rPr>
          <w:rFonts w:ascii="Times New Roman" w:hAnsi="Times New Roman"/>
          <w:sz w:val="24"/>
          <w:szCs w:val="24"/>
        </w:rPr>
        <w:t>exome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data was </w:t>
      </w:r>
      <w:proofErr w:type="spellStart"/>
      <w:r w:rsidRPr="00B05551">
        <w:rPr>
          <w:rFonts w:ascii="Times New Roman" w:hAnsi="Times New Roman"/>
          <w:sz w:val="24"/>
          <w:szCs w:val="24"/>
        </w:rPr>
        <w:t>analysed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using Torrent Suite and annotated using ANNOVAR. Polymorphisms with allele frequency of &gt;0.01 were excluded and the remaining variants were filtered based on de novo mutations, </w:t>
      </w:r>
      <w:proofErr w:type="spellStart"/>
      <w:r w:rsidRPr="00B05551">
        <w:rPr>
          <w:rFonts w:ascii="Times New Roman" w:hAnsi="Times New Roman"/>
          <w:sz w:val="24"/>
          <w:szCs w:val="24"/>
        </w:rPr>
        <w:t>autosomal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recessive, X-linked and </w:t>
      </w:r>
      <w:proofErr w:type="spellStart"/>
      <w:r w:rsidRPr="00B05551">
        <w:rPr>
          <w:rFonts w:ascii="Times New Roman" w:hAnsi="Times New Roman"/>
          <w:sz w:val="24"/>
          <w:szCs w:val="24"/>
        </w:rPr>
        <w:t>di-genic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inheritance </w:t>
      </w:r>
      <w:proofErr w:type="spellStart"/>
      <w:r w:rsidRPr="00B05551">
        <w:rPr>
          <w:rFonts w:ascii="Times New Roman" w:hAnsi="Times New Roman"/>
          <w:sz w:val="24"/>
          <w:szCs w:val="24"/>
        </w:rPr>
        <w:t>traits.We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did not detect any homozygous, compound heterozygous or X-linked mutations associated with VACTERL association in this patient. However, we identified two heterozygous mutations; KIF27 (ENST00000297814:c.3004 A &gt; C</w:t>
      </w:r>
      <w:proofErr w:type="gramStart"/>
      <w:r w:rsidRPr="00B05551">
        <w:rPr>
          <w:rFonts w:ascii="Times New Roman" w:hAnsi="Times New Roman"/>
          <w:sz w:val="24"/>
          <w:szCs w:val="24"/>
        </w:rPr>
        <w:t>:p.N1002H</w:t>
      </w:r>
      <w:proofErr w:type="gramEnd"/>
      <w:r w:rsidRPr="00B05551">
        <w:rPr>
          <w:rFonts w:ascii="Times New Roman" w:hAnsi="Times New Roman"/>
          <w:sz w:val="24"/>
          <w:szCs w:val="24"/>
        </w:rPr>
        <w:t>) and GNAS (ENST00000371098:c.205 C &gt; A:p.H69N) genes that were inherited from her father and mother respectively. A de novo, IFT140 gene mutation (ENST00000426508:c.683 C &gt; G</w:t>
      </w:r>
      <w:proofErr w:type="gramStart"/>
      <w:r w:rsidRPr="00B05551">
        <w:rPr>
          <w:rFonts w:ascii="Times New Roman" w:hAnsi="Times New Roman"/>
          <w:sz w:val="24"/>
          <w:szCs w:val="24"/>
        </w:rPr>
        <w:t>:p.S228C</w:t>
      </w:r>
      <w:proofErr w:type="gramEnd"/>
      <w:r w:rsidRPr="00B05551">
        <w:rPr>
          <w:rFonts w:ascii="Times New Roman" w:hAnsi="Times New Roman"/>
          <w:sz w:val="24"/>
          <w:szCs w:val="24"/>
        </w:rPr>
        <w:t xml:space="preserve">) was also identified in this patient. The VACTERL phenotype seen in this patient could be due to heterozygous mutations affecting KIF27 and GNAS genes, inherited via </w:t>
      </w:r>
      <w:proofErr w:type="spellStart"/>
      <w:r w:rsidRPr="00B05551">
        <w:rPr>
          <w:rFonts w:ascii="Times New Roman" w:hAnsi="Times New Roman"/>
          <w:sz w:val="24"/>
          <w:szCs w:val="24"/>
        </w:rPr>
        <w:t>autosomal</w:t>
      </w:r>
      <w:proofErr w:type="spellEnd"/>
      <w:r w:rsidRPr="00B05551">
        <w:rPr>
          <w:rFonts w:ascii="Times New Roman" w:hAnsi="Times New Roman"/>
          <w:sz w:val="24"/>
          <w:szCs w:val="24"/>
        </w:rPr>
        <w:t xml:space="preserve"> recessive trait. In addition, IFT140 gene mutation may also be involved. All the 3 genes are known to be directly or non-directly involved in the sonic hedgehog signaling that have been implicated in VACTERL. This is the first report of the involvement of these 3 genes in association with VACTERL.</w:t>
      </w:r>
    </w:p>
    <w:p w:rsidR="005F50B0" w:rsidRPr="002B4529" w:rsidRDefault="005F50B0" w:rsidP="002B4529"/>
    <w:sectPr w:rsidR="005F50B0" w:rsidRPr="002B4529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2B4529"/>
    <w:rsid w:val="0030792F"/>
    <w:rsid w:val="005F50B0"/>
    <w:rsid w:val="00764AD8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2017-11-08T06:10:00Z</dcterms:created>
  <dcterms:modified xsi:type="dcterms:W3CDTF">2017-11-08T06:10:00Z</dcterms:modified>
</cp:coreProperties>
</file>